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АУДИТОРСКИЙ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СУЩЕСТВЕННОГО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ИСКАЖЕНИЯ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ПОСРЕДСТВОМ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ИЗУЧЕНИЯ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ОРГАНИЗАЦИИ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ОКРУЖЕНИЯ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216"/>
      <w:bookmarkEnd w:id="1"/>
      <w:bookmarkEnd w:id="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" w:name="217"/>
      <w:bookmarkEnd w:id="2"/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МАТУС</w:t>
      </w:r>
      <w:r>
        <w:rPr>
          <w:rFonts w:ascii="Arial" w:hAnsi="Arial" w:cs="Arial"/>
          <w:color w:val="000000"/>
        </w:rPr>
        <w:t>,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3" w:name="224"/>
      <w:bookmarkEnd w:id="3"/>
      <w:r>
        <w:rPr>
          <w:rFonts w:ascii="Arial" w:hAnsi="Arial" w:cs="Arial"/>
          <w:color w:val="000000"/>
        </w:rPr>
        <w:t>ИП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>,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4" w:name="218"/>
      <w:bookmarkEnd w:id="4"/>
      <w:r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пал</w:t>
      </w:r>
      <w:r>
        <w:rPr>
          <w:rFonts w:ascii="Arial" w:hAnsi="Arial" w:cs="Arial"/>
          <w:color w:val="000000"/>
        </w:rPr>
        <w:t>аты</w:t>
      </w:r>
      <w:r>
        <w:rPr>
          <w:rFonts w:ascii="Arial" w:hAnsi="Arial" w:cs="Arial"/>
          <w:color w:val="000000"/>
        </w:rPr>
        <w:t>,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5" w:name="219"/>
      <w:bookmarkEnd w:id="5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комитета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6" w:name="220"/>
      <w:bookmarkEnd w:id="6"/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внедрению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этики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7" w:name="221"/>
      <w:bookmarkEnd w:id="7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8" w:name="222"/>
      <w:bookmarkEnd w:id="8"/>
      <w:r>
        <w:rPr>
          <w:rFonts w:ascii="Arial" w:hAnsi="Arial" w:cs="Arial"/>
          <w:color w:val="000000"/>
        </w:rPr>
        <w:t>Материал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подготовлен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использованием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9" w:name="225"/>
      <w:bookmarkEnd w:id="9"/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состоянию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0" w:name="226"/>
      <w:bookmarkEnd w:id="10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июля</w:t>
      </w:r>
      <w:r>
        <w:rPr>
          <w:rFonts w:ascii="Arial" w:hAnsi="Arial" w:cs="Arial"/>
          <w:color w:val="000000"/>
        </w:rPr>
        <w:t xml:space="preserve"> 2020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" w:name="107"/>
      <w:bookmarkEnd w:id="11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2" w:name="8"/>
      <w:bookmarkEnd w:id="12"/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статье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излагается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разъясняется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концепция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аудиторского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указанием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ключевых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стандартов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аудита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которые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дают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рекомендации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аудиторам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оценке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риска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3" w:name="247"/>
      <w:bookmarkEnd w:id="13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0"/>
      <w:bookmarkEnd w:id="14"/>
      <w:r>
        <w:rPr>
          <w:rFonts w:ascii="Arial" w:hAnsi="Arial" w:cs="Arial"/>
          <w:color w:val="000000"/>
        </w:rPr>
        <w:t>Выявление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ключевая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315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НПАД</w:t>
      </w:r>
      <w:r>
        <w:rPr>
          <w:rFonts w:ascii="Arial" w:hAnsi="Arial" w:cs="Arial"/>
          <w:color w:val="000000"/>
        </w:rPr>
        <w:t xml:space="preserve"> N 203 </w:t>
      </w:r>
      <w:r>
        <w:rPr>
          <w:rFonts w:ascii="Arial" w:hAnsi="Arial" w:cs="Arial"/>
          <w:color w:val="000000"/>
        </w:rPr>
        <w:t>дают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подробные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рекомендации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</w:t>
      </w:r>
      <w:r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1"/>
      <w:bookmarkEnd w:id="15"/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поскольку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Традиционно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</w:t>
      </w:r>
      <w:r>
        <w:rPr>
          <w:rFonts w:ascii="Arial" w:hAnsi="Arial" w:cs="Arial"/>
          <w:color w:val="000000"/>
        </w:rPr>
        <w:t>росов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ориентированном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подходе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315 </w:t>
      </w:r>
      <w:r>
        <w:rPr>
          <w:rFonts w:ascii="Arial" w:hAnsi="Arial" w:cs="Arial"/>
          <w:color w:val="000000"/>
        </w:rPr>
        <w:t>полностью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посвящены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всех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вместо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подчеркивают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еобходимость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сначала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выяснения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возникнуть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значительные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ключевые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вероятно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сальдо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тратится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тестирование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незначительные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12"/>
      <w:bookmarkEnd w:id="16"/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обоснования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разумную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уверенность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свободна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причине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недобросовестных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вследствие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Разумная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уверенность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степень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уверенности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.,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выразит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ненадлежащее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</w:t>
      </w:r>
      <w:r>
        <w:rPr>
          <w:rFonts w:ascii="Arial" w:hAnsi="Arial" w:cs="Arial"/>
          <w:color w:val="000000"/>
        </w:rPr>
        <w:t>ажена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приемлемо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5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200).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" w:name="13"/>
      <w:bookmarkEnd w:id="17"/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сформирует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ошибочное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</w:t>
      </w:r>
      <w:r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>. (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200).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14"/>
      <w:bookmarkEnd w:id="18"/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допущено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 xml:space="preserve"> (n)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200):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15"/>
      <w:bookmarkEnd w:id="19"/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color w:val="000000"/>
        </w:rPr>
        <w:t>нео</w:t>
      </w:r>
      <w:r>
        <w:rPr>
          <w:rFonts w:ascii="Arial" w:hAnsi="Arial" w:cs="Arial"/>
          <w:color w:val="000000"/>
        </w:rPr>
        <w:t>тъемлемый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установленная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каких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подверженность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предпосылки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совокупности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искажениями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0" w:name="16"/>
      <w:bookmarkEnd w:id="2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заключающийся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предпосылке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</w:t>
      </w:r>
      <w:r>
        <w:rPr>
          <w:rFonts w:ascii="Arial" w:hAnsi="Arial" w:cs="Arial"/>
          <w:color w:val="000000"/>
        </w:rPr>
        <w:t>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совокупности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исправлено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1" w:name="17"/>
      <w:bookmarkEnd w:id="21"/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модель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>стоит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компонентов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2" w:name="213"/>
      <w:bookmarkEnd w:id="22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bookmarkStart w:id="23" w:name="18"/>
      <w:bookmarkEnd w:id="23"/>
      <w:r>
        <w:rPr>
          <w:rFonts w:ascii="Arial" w:hAnsi="Arial" w:cs="Arial"/>
          <w:b/>
          <w:bCs/>
          <w:i/>
          <w:iCs/>
          <w:color w:val="000000"/>
        </w:rPr>
        <w:t>Аудиторский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риск</w:t>
      </w:r>
      <w:r>
        <w:rPr>
          <w:rFonts w:ascii="Arial" w:hAnsi="Arial" w:cs="Arial"/>
          <w:b/>
          <w:bCs/>
          <w:i/>
          <w:iCs/>
          <w:color w:val="000000"/>
        </w:rPr>
        <w:t xml:space="preserve"> = </w:t>
      </w:r>
      <w:r>
        <w:rPr>
          <w:rFonts w:ascii="Arial" w:hAnsi="Arial" w:cs="Arial"/>
          <w:b/>
          <w:bCs/>
          <w:i/>
          <w:iCs/>
          <w:color w:val="000000"/>
        </w:rPr>
        <w:t>Неотъемлемый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риск</w:t>
      </w:r>
      <w:r>
        <w:rPr>
          <w:rFonts w:ascii="Arial" w:hAnsi="Arial" w:cs="Arial"/>
          <w:b/>
          <w:bCs/>
          <w:i/>
          <w:iCs/>
          <w:color w:val="000000"/>
        </w:rPr>
        <w:t xml:space="preserve"> x </w:t>
      </w:r>
      <w:r>
        <w:rPr>
          <w:rFonts w:ascii="Arial" w:hAnsi="Arial" w:cs="Arial"/>
          <w:b/>
          <w:bCs/>
          <w:i/>
          <w:iCs/>
          <w:color w:val="000000"/>
        </w:rPr>
        <w:t>Риск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средств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контроля</w:t>
      </w:r>
      <w:r>
        <w:rPr>
          <w:rFonts w:ascii="Arial" w:hAnsi="Arial" w:cs="Arial"/>
          <w:b/>
          <w:bCs/>
          <w:i/>
          <w:iCs/>
          <w:color w:val="000000"/>
        </w:rPr>
        <w:t xml:space="preserve"> x </w:t>
      </w:r>
      <w:r>
        <w:rPr>
          <w:rFonts w:ascii="Arial" w:hAnsi="Arial" w:cs="Arial"/>
          <w:b/>
          <w:bCs/>
          <w:i/>
          <w:iCs/>
          <w:color w:val="000000"/>
        </w:rPr>
        <w:t>Риск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необнаружения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4" w:name="19"/>
      <w:bookmarkEnd w:id="24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0"/>
      <w:bookmarkEnd w:id="25"/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подробно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рассмотрим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вышеуказанных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компонентов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6" w:name="21"/>
      <w:bookmarkEnd w:id="26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7" w:name="22"/>
      <w:bookmarkEnd w:id="27"/>
      <w:r>
        <w:rPr>
          <w:rFonts w:ascii="Arial" w:hAnsi="Arial" w:cs="Arial"/>
          <w:b/>
          <w:bCs/>
          <w:color w:val="000000"/>
        </w:rPr>
        <w:t>Неотъемлемый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8" w:name="227"/>
      <w:bookmarkEnd w:id="28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23"/>
      <w:bookmarkEnd w:id="29"/>
      <w:r>
        <w:rPr>
          <w:rFonts w:ascii="Arial" w:hAnsi="Arial" w:cs="Arial"/>
          <w:color w:val="000000"/>
        </w:rPr>
        <w:t>Неотъемл</w:t>
      </w:r>
      <w:r>
        <w:rPr>
          <w:rFonts w:ascii="Arial" w:hAnsi="Arial" w:cs="Arial"/>
          <w:color w:val="000000"/>
        </w:rPr>
        <w:t>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оценочными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бухгалтерской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</w:t>
      </w:r>
      <w:r>
        <w:rPr>
          <w:rFonts w:ascii="Arial" w:hAnsi="Arial" w:cs="Arial"/>
          <w:color w:val="000000"/>
        </w:rPr>
        <w:t>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неотъемлемого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недоступны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неотъемлемый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высокий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0" w:name="214"/>
      <w:bookmarkEnd w:id="3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default" r:id="rId6"/>
          <w:footerReference w:type="default" r:id="rId7"/>
          <w:pgSz w:w="11905" w:h="16837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79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Факторы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влияющие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клиента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целом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Честность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отношение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директоров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менеджеров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Доминирование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человека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вызвать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проблемы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Опыт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знания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менеджеров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Существенные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нагрузки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менеджеров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Примерами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служить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сжатые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ожидание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Характер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Потенциальные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проблемы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включают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технологическое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устаревание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чрезмерную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зависимость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Отраслевые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факторы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Конкурентные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нормативные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технологические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разработки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потребительско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спросе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Информационная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технология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включают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подтверждающей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концентрация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опыта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нескольких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сотрудниках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возможность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несанкционированного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доступа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1" w:name="108"/>
      <w:bookmarkEnd w:id="31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79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Факторы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влияющие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остатки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счетах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Бухгалтерские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счета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склонные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искажению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Счета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предыдущий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высокой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степени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Сложные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счета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Счета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экспертных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являются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текущего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професси</w:t>
            </w:r>
            <w:r>
              <w:rPr>
                <w:rFonts w:ascii="Arial" w:hAnsi="Arial" w:cs="Arial"/>
                <w:color w:val="000000"/>
              </w:rPr>
              <w:t>онального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обсуждения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Активы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высоким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риском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потери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или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кражи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деньги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инвентарь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портативные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необоротные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ноутбуки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Качество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учетных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систем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Качество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продажи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закупки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деньги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</w:t>
            </w:r>
            <w:r>
              <w:rPr>
                <w:rFonts w:ascii="Arial" w:hAnsi="Arial" w:cs="Arial"/>
                <w:color w:val="000000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Большой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операций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Система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справиться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Необычные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операции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большими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необычными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названиями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именами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своевременно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особенно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важно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возникают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конце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проход</w:t>
            </w:r>
            <w:r>
              <w:rPr>
                <w:rFonts w:ascii="Arial" w:hAnsi="Arial" w:cs="Arial"/>
                <w:color w:val="000000"/>
              </w:rPr>
              <w:t>ят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конкретным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обрабатываются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Сотрудники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Кадровые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2" w:name="25"/>
      <w:bookmarkEnd w:id="32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33" w:name="26"/>
      <w:bookmarkEnd w:id="33"/>
      <w:r>
        <w:rPr>
          <w:rFonts w:ascii="Arial" w:hAnsi="Arial" w:cs="Arial"/>
          <w:b/>
          <w:bCs/>
          <w:color w:val="000000"/>
        </w:rPr>
        <w:t>Риск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контроля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4" w:name="228"/>
      <w:bookmarkEnd w:id="34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27"/>
      <w:bookmarkEnd w:id="35"/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Предварительная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контрольного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тестов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6" w:name="110"/>
      <w:bookmarkEnd w:id="36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37" w:name="111"/>
      <w:bookmarkEnd w:id="37"/>
      <w:r>
        <w:rPr>
          <w:rFonts w:ascii="Arial" w:hAnsi="Arial" w:cs="Arial"/>
          <w:b/>
          <w:bCs/>
          <w:color w:val="000000"/>
        </w:rPr>
        <w:t>Пример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рабоче</w:t>
      </w:r>
      <w:r>
        <w:rPr>
          <w:rFonts w:ascii="Arial" w:hAnsi="Arial" w:cs="Arial"/>
          <w:b/>
          <w:bCs/>
          <w:color w:val="000000"/>
        </w:rPr>
        <w:t>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аудитора</w:t>
      </w:r>
      <w:r>
        <w:rPr>
          <w:rFonts w:ascii="Arial" w:hAnsi="Arial" w:cs="Arial"/>
          <w:b/>
          <w:bCs/>
          <w:color w:val="000000"/>
        </w:rPr>
        <w:t xml:space="preserve"> “</w:t>
      </w:r>
      <w:r>
        <w:rPr>
          <w:rFonts w:ascii="Arial" w:hAnsi="Arial" w:cs="Arial"/>
          <w:b/>
          <w:bCs/>
          <w:color w:val="000000"/>
        </w:rPr>
        <w:t>Рассмотрение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системы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внутреннего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контроля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38" w:name="248"/>
      <w:bookmarkEnd w:id="38"/>
      <w:r>
        <w:rPr>
          <w:rFonts w:ascii="Arial" w:hAnsi="Arial" w:cs="Arial"/>
          <w:color w:val="000000"/>
        </w:rPr>
        <w:t> </w:t>
      </w:r>
    </w:p>
    <w:p w:rsidR="00000000" w:rsidRDefault="00F866D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39" w:name="249"/>
      <w:bookmarkEnd w:id="39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21336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0D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420D0">
        <w:rPr>
          <w:rFonts w:ascii="Arial" w:hAnsi="Arial" w:cs="Arial"/>
          <w:b/>
          <w:bCs/>
          <w:i/>
          <w:iCs/>
          <w:color w:val="000000"/>
        </w:rPr>
        <w:t>Примечание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40" w:name="250"/>
      <w:bookmarkEnd w:id="40"/>
      <w:r>
        <w:rPr>
          <w:rFonts w:ascii="Arial" w:hAnsi="Arial" w:cs="Arial"/>
          <w:i/>
          <w:iCs/>
          <w:color w:val="000000"/>
        </w:rPr>
        <w:t>Заполняется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подписывается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руководителем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проверки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начале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проведения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проверки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Сделанные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выводы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относительно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надежности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системы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внутреннего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контроля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используются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аудиторами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ходе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проведения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процедур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существу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частности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определении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уровня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существенности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процента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выборки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д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41" w:name="251"/>
      <w:bookmarkEnd w:id="41"/>
      <w:r>
        <w:rPr>
          <w:rFonts w:ascii="Arial" w:hAnsi="Arial" w:cs="Arial"/>
          <w:i/>
          <w:iCs/>
          <w:color w:val="000000"/>
        </w:rPr>
        <w:t>Уточняется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ходе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проведения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процедур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сущест</w:t>
      </w:r>
      <w:r>
        <w:rPr>
          <w:rFonts w:ascii="Arial" w:hAnsi="Arial" w:cs="Arial"/>
          <w:i/>
          <w:iCs/>
          <w:color w:val="000000"/>
        </w:rPr>
        <w:t>ву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2" w:name="264"/>
      <w:bookmarkEnd w:id="42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8"/>
        <w:gridCol w:w="5215"/>
        <w:gridCol w:w="566"/>
        <w:gridCol w:w="3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РАССМОТРЕНИЕ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СИСТЕМЫ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ВНУТРЕННЕГО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 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АУДИРУЕМОЕ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ЛИЦО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9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ПРОВЕРЯЕМЫЙ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ПЕРИОД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9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3" w:name="254"/>
      <w:bookmarkEnd w:id="43"/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4" w:name="267"/>
      <w:bookmarkEnd w:id="44"/>
      <w:r>
        <w:rPr>
          <w:rFonts w:ascii="Arial" w:hAnsi="Arial" w:cs="Arial"/>
          <w:b/>
          <w:bCs/>
          <w:color w:val="000000"/>
        </w:rPr>
        <w:t>Контрольная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среда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3004"/>
        <w:gridCol w:w="1757"/>
        <w:gridCol w:w="907"/>
        <w:gridCol w:w="623"/>
        <w:gridCol w:w="1927"/>
        <w:gridCol w:w="566"/>
        <w:gridCol w:w="136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Контрольная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вопрос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</w:t>
            </w:r>
            <w:r>
              <w:rPr>
                <w:rFonts w:ascii="Arial" w:hAnsi="Arial" w:cs="Arial"/>
                <w:color w:val="000000"/>
              </w:rPr>
              <w:t>ет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7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элемента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СВК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213360" cy="182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Примечание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Приводится</w:t>
            </w:r>
            <w:r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краткое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описание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которой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она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осуществляется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отраслевые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правовые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другие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внешние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факторы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влияющие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включая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применяем</w:t>
            </w:r>
            <w:r>
              <w:rPr>
                <w:rFonts w:ascii="Arial" w:hAnsi="Arial" w:cs="Arial"/>
                <w:i/>
                <w:iCs/>
                <w:color w:val="000000"/>
              </w:rPr>
              <w:t>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способы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подготовки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краткое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описание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характера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особенностей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географические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операционные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сегменты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наличие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внешнеэкономических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опе</w:t>
            </w:r>
            <w:r>
              <w:rPr>
                <w:rFonts w:ascii="Arial" w:hAnsi="Arial" w:cs="Arial"/>
                <w:i/>
                <w:iCs/>
                <w:color w:val="000000"/>
              </w:rPr>
              <w:t>раций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краткое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описание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существенных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операций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планирующихся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осуществлению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рамках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финансовой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инвестиционной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информация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проведенной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возможных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планах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предстоящем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проведении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реорганизации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краткое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описани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общей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стратегии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связанных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хозяйственной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развитие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отрасли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новые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виды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продукции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услуг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текущие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перспективные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потребности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финансовых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ресурсах</w:t>
            </w:r>
            <w:r>
              <w:rPr>
                <w:rFonts w:ascii="Arial" w:hAnsi="Arial" w:cs="Arial"/>
                <w:i/>
                <w:iCs/>
                <w:color w:val="000000"/>
              </w:rPr>
              <w:t>);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анализ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финансовых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результатов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</w:t>
            </w:r>
            <w:r>
              <w:rPr>
                <w:rFonts w:ascii="Arial" w:hAnsi="Arial" w:cs="Arial"/>
                <w:i/>
                <w:iCs/>
                <w:color w:val="000000"/>
              </w:rPr>
              <w:t>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позиция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осведомленность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действия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представителей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собственника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руководства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относительно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системы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внутреннего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также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понимание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такой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системы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основные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характеристики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действующей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организации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СВК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Отрасль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функционирования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характеризуется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стабильностью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незначительной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степени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зависит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влияния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внешних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Отрасль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функционирования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подвержена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проведением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</w:t>
            </w:r>
            <w:r>
              <w:rPr>
                <w:rFonts w:ascii="Arial" w:hAnsi="Arial" w:cs="Arial"/>
                <w:color w:val="000000"/>
              </w:rPr>
              <w:t>итики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денежной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валютный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налоговой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торговой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экологической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характеризуется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большого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количества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географических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сегментов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Относительно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стабильный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контрагентов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характеризующийся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длительными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стабильностью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поставок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незначительной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степени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подверженный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контрагентов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структур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международных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иностранных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компаний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резидентов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промышленно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производственных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особых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экономических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туристско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рекреационных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особых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экономических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зон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приобретении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исключительных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работ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услуг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отсутств</w:t>
            </w:r>
            <w:r>
              <w:rPr>
                <w:rFonts w:ascii="Arial" w:hAnsi="Arial" w:cs="Arial"/>
                <w:color w:val="000000"/>
              </w:rPr>
              <w:t>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импорту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участником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холдинговых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структур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явл</w:t>
            </w:r>
            <w:r>
              <w:rPr>
                <w:rFonts w:ascii="Arial" w:hAnsi="Arial" w:cs="Arial"/>
                <w:color w:val="000000"/>
              </w:rPr>
              <w:t>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участником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совместной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существенно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Штат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заработная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гарантии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компенсации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работникам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среднеотраслевым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значениям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существенно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проводились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реорганизация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крупные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приобретения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продажи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инвестиции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совместную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последние</w:t>
            </w:r>
            <w:r>
              <w:rPr>
                <w:rFonts w:ascii="Arial" w:hAnsi="Arial" w:cs="Arial"/>
                <w:color w:val="000000"/>
              </w:rPr>
              <w:t xml:space="preserve"> 3 </w:t>
            </w:r>
            <w:r>
              <w:rPr>
                <w:rFonts w:ascii="Arial" w:hAnsi="Arial" w:cs="Arial"/>
                <w:color w:val="000000"/>
              </w:rPr>
              <w:t>года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  <w:r w:rsidR="007420D0">
              <w:rPr>
                <w:rFonts w:ascii="Arial" w:hAnsi="Arial" w:cs="Arial"/>
                <w:color w:val="000000"/>
              </w:rPr>
              <w:t xml:space="preserve">,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проводились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, </w:t>
            </w:r>
            <w:r w:rsidR="007420D0">
              <w:rPr>
                <w:rFonts w:ascii="Arial" w:hAnsi="Arial" w:cs="Arial"/>
                <w:color w:val="000000"/>
              </w:rPr>
              <w:t>проводилась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схема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организационной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структуры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экономического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субъекта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отделам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функциональным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малом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подчиненности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исполнителей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схема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организационной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структуры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подразделения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ответственного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управленческих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подчиненности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исполнителей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Имеется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разработанный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гра</w:t>
            </w:r>
            <w:r>
              <w:rPr>
                <w:rFonts w:ascii="Arial" w:hAnsi="Arial" w:cs="Arial"/>
                <w:color w:val="000000"/>
              </w:rPr>
              <w:t>фик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документооборота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перечня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созданию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проверке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выполняемых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подразделениями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указанием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взаимосвязи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Структура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характеризуется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небольшого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количества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либо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отсутствием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дочерних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зависимых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обществ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филиалов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редставительств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большого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количества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сегментов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наличные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безналичные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бартер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взаимозачеты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переводы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долга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большого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количества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разнообразных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валютах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условных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единицах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  <w:r w:rsidR="007420D0">
              <w:rPr>
                <w:rFonts w:ascii="Arial" w:hAnsi="Arial" w:cs="Arial"/>
                <w:color w:val="000000"/>
              </w:rPr>
              <w:t xml:space="preserve">, </w:t>
            </w:r>
            <w:r w:rsidR="007420D0">
              <w:rPr>
                <w:rFonts w:ascii="Arial" w:hAnsi="Arial" w:cs="Arial"/>
                <w:color w:val="000000"/>
              </w:rPr>
              <w:t>отсутствуют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применяются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установленные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отраслевые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особенности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оказывают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влияния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специфических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сложных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явного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экономического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смысла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сложных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схем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полномочий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сотрудниками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обеспечивающими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комме</w:t>
            </w:r>
            <w:r>
              <w:rPr>
                <w:rFonts w:ascii="Arial" w:hAnsi="Arial" w:cs="Arial"/>
                <w:color w:val="000000"/>
              </w:rPr>
              <w:t>рческой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хозяйственной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сотрудниками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обеспечивающими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Разделение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обязанностей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работниками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исполняющими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возможностью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участке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целом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должностные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инструкции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служб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распределением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определением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пределов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полномочий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занимаемой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должностью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числе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конкретным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исполнителям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правильность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соблюдение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сырья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материалов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ГСМ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правильность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оформления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выполняемыми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</w:t>
            </w:r>
            <w:r>
              <w:rPr>
                <w:rFonts w:ascii="Arial" w:hAnsi="Arial" w:cs="Arial"/>
                <w:color w:val="000000"/>
              </w:rPr>
              <w:t>ациями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отражение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юридических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</w:t>
            </w:r>
            <w:r>
              <w:rPr>
                <w:rFonts w:ascii="Arial" w:hAnsi="Arial" w:cs="Arial"/>
                <w:color w:val="000000"/>
              </w:rPr>
              <w:t>льств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соблюдение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отражение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экономических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</w:t>
            </w:r>
            <w:r>
              <w:rPr>
                <w:rFonts w:ascii="Arial" w:hAnsi="Arial" w:cs="Arial"/>
                <w:color w:val="000000"/>
              </w:rPr>
              <w:t>ельств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соблюдение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лицензируемые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Установлен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должностных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подписи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расход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принятие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командировочных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представительских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</w:t>
            </w:r>
            <w:r>
              <w:rPr>
                <w:rFonts w:ascii="Arial" w:hAnsi="Arial" w:cs="Arial"/>
                <w:color w:val="000000"/>
              </w:rPr>
              <w:t>ходов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дефицитных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дорогостоящих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ограничен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руг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распоряжаться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Назначены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приказом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</w:t>
            </w:r>
            <w:r>
              <w:rPr>
                <w:rFonts w:ascii="Arial" w:hAnsi="Arial" w:cs="Arial"/>
                <w:color w:val="000000"/>
              </w:rPr>
              <w:t>етственные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Заключены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ответственности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сохранность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денежных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имеется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склад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запасов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склад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охраняется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оснащен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охранной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сигнализацией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денежные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сейфах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доступ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ограничен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обеспечивается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сопровождение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кассира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доставке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сохранностью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сброшю</w:t>
            </w:r>
            <w:r>
              <w:rPr>
                <w:rFonts w:ascii="Arial" w:hAnsi="Arial" w:cs="Arial"/>
                <w:color w:val="000000"/>
              </w:rPr>
              <w:t>рованы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последовательно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пронумерованы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облегчения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поиска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сейфах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отдельных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специально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оборудованных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помещениях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Создана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служба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разработано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Положение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Ревизоре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Ревизионной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комиссии</w:t>
            </w:r>
            <w:r>
              <w:rPr>
                <w:rFonts w:ascii="Arial" w:hAnsi="Arial" w:cs="Arial"/>
                <w:color w:val="000000"/>
              </w:rPr>
              <w:t>);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назначена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руководителем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инвентаризационная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комиссия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утверждена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комиссия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приему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передаче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вводу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эксплуатацию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списанию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</w:t>
            </w:r>
            <w:r>
              <w:rPr>
                <w:rFonts w:ascii="Arial" w:hAnsi="Arial" w:cs="Arial"/>
                <w:color w:val="000000"/>
              </w:rPr>
              <w:t>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нематериальных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активов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Внутренними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контролирующими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роводятся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ревизионные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плановые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внезапные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выяснения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фактическому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наличию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подтверждения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ведомостей</w:t>
            </w:r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внезапная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реви</w:t>
            </w:r>
            <w:r>
              <w:rPr>
                <w:rFonts w:ascii="Arial" w:hAnsi="Arial" w:cs="Arial"/>
                <w:color w:val="000000"/>
              </w:rPr>
              <w:t>зия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кассы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ревизия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смене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>иц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учет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остатков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открытого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строительстве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конец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политикой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проводится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</w:t>
            </w:r>
            <w:r>
              <w:rPr>
                <w:rFonts w:ascii="Arial" w:hAnsi="Arial" w:cs="Arial"/>
                <w:color w:val="000000"/>
              </w:rPr>
              <w:t>ризация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склада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предмет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особенно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дорогостоящих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дефицитных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основных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нематериальных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активов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готовой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незавершенного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производства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принятого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переданного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БСО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ценных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бумаг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финансовых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вложений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кредитов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заемных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склада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производится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только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довереннос</w:t>
            </w:r>
            <w:r>
              <w:rPr>
                <w:rFonts w:ascii="Arial" w:hAnsi="Arial" w:cs="Arial"/>
                <w:color w:val="000000"/>
              </w:rPr>
              <w:t>тей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0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Проводятся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мероприятия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обучению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повышению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квалификации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кадров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инструктажи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обучение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членами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комиссий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</w:t>
            </w:r>
            <w:r>
              <w:rPr>
                <w:rFonts w:ascii="Arial" w:hAnsi="Arial" w:cs="Arial"/>
                <w:color w:val="000000"/>
              </w:rPr>
              <w:t>ядка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оформления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имущества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кассиром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совершения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кассовых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материально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вопросам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правилам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приемки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бухгалтерским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персоналом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обучен</w:t>
            </w:r>
            <w:r>
              <w:rPr>
                <w:rFonts w:ascii="Arial" w:hAnsi="Arial" w:cs="Arial"/>
                <w:color w:val="000000"/>
              </w:rPr>
              <w:t>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повышению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квалификации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требуется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Оценка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надежности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элемента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галкой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изкий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0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5" w:name="270"/>
      <w:bookmarkEnd w:id="45"/>
      <w:r>
        <w:rPr>
          <w:rFonts w:ascii="Arial" w:hAnsi="Arial" w:cs="Arial"/>
          <w:b/>
          <w:bCs/>
          <w:color w:val="000000"/>
        </w:rPr>
        <w:t>Процесс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аудируемым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лицом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3004"/>
        <w:gridCol w:w="1700"/>
        <w:gridCol w:w="1530"/>
        <w:gridCol w:w="2211"/>
        <w:gridCol w:w="283"/>
        <w:gridCol w:w="170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Процесс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оценки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рисков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аудируемым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лицом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вопрос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92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элемента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СКВ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213360" cy="18288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Примечание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каким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образом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процессе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руководство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выявляет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имеющие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отношение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финансовой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определяет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оценивает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вероятность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возникно</w:t>
            </w:r>
            <w:r>
              <w:rPr>
                <w:rFonts w:ascii="Arial" w:hAnsi="Arial" w:cs="Arial"/>
                <w:i/>
                <w:iCs/>
                <w:color w:val="000000"/>
              </w:rPr>
              <w:t>вения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принимает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решение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относительного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как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управлять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Каким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образом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предотвращается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возможность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неотражения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хозяйственных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операций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каким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образом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определяются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анализируются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существенные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финансовой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оцено</w:t>
            </w:r>
            <w:r>
              <w:rPr>
                <w:rFonts w:ascii="Arial" w:hAnsi="Arial" w:cs="Arial"/>
                <w:i/>
                <w:iCs/>
                <w:color w:val="000000"/>
              </w:rPr>
              <w:t>чные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Описать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возможные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факторы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например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внедрение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изменение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уже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применяемых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информационных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систем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быстрый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рост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развитие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появление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сложных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ранее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нетипичных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операций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внедрение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технологий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выход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международный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рынок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д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Корреспонденция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контролируется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главным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</w:t>
            </w:r>
            <w:r>
              <w:rPr>
                <w:rFonts w:ascii="Arial" w:hAnsi="Arial" w:cs="Arial"/>
                <w:color w:val="000000"/>
              </w:rPr>
              <w:t>одологии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корреспонденции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редусмотренной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действующим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типовым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указанные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приводят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нарушению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методологии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следствие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существенным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искажениям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налогооблагаемой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базы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хозяйственные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санкционированы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конкретных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случаях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выдачу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визируются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руководителем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хозяйственны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отражаются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остатков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</w:t>
            </w:r>
            <w:r>
              <w:rPr>
                <w:rFonts w:ascii="Arial" w:hAnsi="Arial" w:cs="Arial"/>
                <w:color w:val="000000"/>
              </w:rPr>
              <w:t>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Главной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книге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остаткам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журналах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ордерах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заменяющих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регистрах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наименованиям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суммовом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количественном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выражении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исходящие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сальдо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конец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входящим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сальдо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начало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следующего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Отсутствую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журнале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ордере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Главной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книге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остатков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сальдо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счету</w:t>
            </w:r>
            <w:r>
              <w:rPr>
                <w:rFonts w:ascii="Arial" w:hAnsi="Arial" w:cs="Arial"/>
                <w:color w:val="000000"/>
              </w:rPr>
              <w:t xml:space="preserve"> 50 “</w:t>
            </w:r>
            <w:r>
              <w:rPr>
                <w:rFonts w:ascii="Arial" w:hAnsi="Arial" w:cs="Arial"/>
                <w:color w:val="000000"/>
              </w:rPr>
              <w:t>Касса</w:t>
            </w:r>
            <w:r>
              <w:rPr>
                <w:rFonts w:ascii="Arial" w:hAnsi="Arial" w:cs="Arial"/>
                <w:color w:val="000000"/>
              </w:rPr>
              <w:t xml:space="preserve">”, </w:t>
            </w:r>
            <w:r>
              <w:rPr>
                <w:rFonts w:ascii="Arial" w:hAnsi="Arial" w:cs="Arial"/>
                <w:color w:val="000000"/>
              </w:rPr>
              <w:t>отраженное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Главной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книге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>ответствует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остатку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этому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кассовой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книге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карандашные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записи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неоговоренные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44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отражаются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моменту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совершения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Назначено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сроками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избежания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штрафных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санкций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нарушение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расходуются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</w:t>
            </w:r>
            <w:r>
              <w:rPr>
                <w:rFonts w:ascii="Arial" w:hAnsi="Arial" w:cs="Arial"/>
                <w:color w:val="000000"/>
              </w:rPr>
              <w:t>етами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составляется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исполнении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</w:t>
            </w:r>
            <w:r>
              <w:rPr>
                <w:rFonts w:ascii="Arial" w:hAnsi="Arial" w:cs="Arial"/>
                <w:color w:val="000000"/>
              </w:rPr>
              <w:t>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расходованием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образованных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учредительными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составляется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использовании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</w:t>
            </w:r>
            <w:r w:rsidR="007420D0">
              <w:rPr>
                <w:rFonts w:ascii="Arial" w:hAnsi="Arial" w:cs="Arial"/>
                <w:color w:val="000000"/>
              </w:rPr>
              <w:t>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Бухгалтерский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проверяемого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велся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политикой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надежности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элемента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галкой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6" w:name="288"/>
      <w:bookmarkEnd w:id="46"/>
      <w:r>
        <w:rPr>
          <w:rFonts w:ascii="Arial" w:hAnsi="Arial" w:cs="Arial"/>
          <w:b/>
          <w:bCs/>
          <w:color w:val="000000"/>
        </w:rPr>
        <w:t>Информационная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система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связанная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подгот</w:t>
      </w:r>
      <w:r>
        <w:rPr>
          <w:rFonts w:ascii="Arial" w:hAnsi="Arial" w:cs="Arial"/>
          <w:b/>
          <w:bCs/>
          <w:color w:val="000000"/>
        </w:rPr>
        <w:t>овкой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финансовой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бухгалтерской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/>
          <w:bCs/>
          <w:color w:val="000000"/>
        </w:rPr>
        <w:t>отчетности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3174"/>
        <w:gridCol w:w="1530"/>
        <w:gridCol w:w="680"/>
        <w:gridCol w:w="793"/>
        <w:gridCol w:w="1927"/>
        <w:gridCol w:w="566"/>
        <w:gridCol w:w="136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Информационная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система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связанная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подготовкой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бухгалтерской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отчетности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вопрос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286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элемента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СВК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213360" cy="18288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Примечание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каким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образом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обеспечивается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функционирование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информационных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систем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связанных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подготовкой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финансовой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техническими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средствами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программным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обеспечением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персоналом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соотв</w:t>
            </w:r>
            <w:r>
              <w:rPr>
                <w:rFonts w:ascii="Arial" w:hAnsi="Arial" w:cs="Arial"/>
                <w:i/>
                <w:iCs/>
                <w:color w:val="000000"/>
              </w:rPr>
              <w:t>етствующими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процедурами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базами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данных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д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.). </w:t>
            </w:r>
            <w:r>
              <w:rPr>
                <w:rFonts w:ascii="Arial" w:hAnsi="Arial" w:cs="Arial"/>
                <w:i/>
                <w:iCs/>
                <w:color w:val="000000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насколько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автоматизирован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процесс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его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отдельные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стадии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насколько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велико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влияние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человеческого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фактора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Используемая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лицензирована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защищена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доступа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посторонних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уничтожения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дублируются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потери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уничтожения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Разработанные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оригинальные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механизированные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ПУД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РКО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ПКО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расчетно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латежные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ведомости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регистров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журналы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ордера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кассовая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книга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Главная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книга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унифицированных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утвержденных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форм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54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порядка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хозяйственного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налогового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возможность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алгоритмов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Алгоритмы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>работки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действующему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законодательству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213360" cy="18288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Примечание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ведении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автоматизированным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способом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целом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либо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отдельных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участков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следует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проверить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выборочно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подтвердить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правильность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расчетов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основным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узловым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алгоритмам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Например</w:t>
            </w:r>
            <w:r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при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автоматизированном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способе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заполнения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налоговых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деклараций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формулы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расчетов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налогов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налоговые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ставки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верны</w:t>
            </w:r>
            <w:r>
              <w:rPr>
                <w:rFonts w:ascii="Arial" w:hAnsi="Arial" w:cs="Arial"/>
                <w:i/>
                <w:iCs/>
                <w:color w:val="000000"/>
              </w:rPr>
              <w:t>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</w:rPr>
              <w:t>при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автоматизированном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способе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заполнения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форм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бухгалтерской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формулы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счета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синтетического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остатки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которым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участвуют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рас</w:t>
            </w:r>
            <w:r>
              <w:rPr>
                <w:rFonts w:ascii="Arial" w:hAnsi="Arial" w:cs="Arial"/>
                <w:i/>
                <w:iCs/>
                <w:color w:val="000000"/>
              </w:rPr>
              <w:t>четах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верны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надежности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элемента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галкой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Низкий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6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7" w:name="296"/>
      <w:bookmarkEnd w:id="47"/>
      <w:r>
        <w:rPr>
          <w:rFonts w:ascii="Arial" w:hAnsi="Arial" w:cs="Arial"/>
          <w:b/>
          <w:bCs/>
          <w:color w:val="000000"/>
        </w:rPr>
        <w:t>Ко</w:t>
      </w:r>
      <w:r>
        <w:rPr>
          <w:rFonts w:ascii="Arial" w:hAnsi="Arial" w:cs="Arial"/>
          <w:b/>
          <w:bCs/>
          <w:color w:val="000000"/>
        </w:rPr>
        <w:t>нтрольные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действия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3344"/>
        <w:gridCol w:w="1360"/>
        <w:gridCol w:w="907"/>
        <w:gridCol w:w="623"/>
        <w:gridCol w:w="1927"/>
        <w:gridCol w:w="283"/>
        <w:gridCol w:w="283"/>
        <w:gridCol w:w="136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Контрольные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вопрос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</w:t>
            </w:r>
          </w:p>
        </w:tc>
        <w:tc>
          <w:tcPr>
            <w:tcW w:w="34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92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элемента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СВК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213360" cy="18288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Примечание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Привести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краткую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характеристику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политики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процедур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которые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помогают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удостовериться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что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распоряжения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руководства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выполняются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например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что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необходимые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меры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предприняты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отношении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которые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могут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преп</w:t>
            </w:r>
            <w:r>
              <w:rPr>
                <w:rFonts w:ascii="Arial" w:hAnsi="Arial" w:cs="Arial"/>
                <w:i/>
                <w:iCs/>
                <w:color w:val="000000"/>
              </w:rPr>
              <w:t>ятствовать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достижению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целей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какие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контрольные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действия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осуществляются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сопоставление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фактических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показателей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плановыми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аналогичными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показателями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предыдущего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периода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показателями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управленческой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проведение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инвентаризаций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ревизий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плановых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внезапных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</w:rPr>
              <w:t>д</w:t>
            </w:r>
            <w:r>
              <w:rPr>
                <w:rFonts w:ascii="Arial" w:hAnsi="Arial" w:cs="Arial"/>
                <w:i/>
                <w:iCs/>
                <w:color w:val="000000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регулярно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обзорные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сравнении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сметными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прогнозными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показателями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показателями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предыдущие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соот</w:t>
            </w:r>
            <w:r>
              <w:rPr>
                <w:rFonts w:ascii="Arial" w:hAnsi="Arial" w:cs="Arial"/>
                <w:color w:val="000000"/>
              </w:rPr>
              <w:t>несение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между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различных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управленческих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финансовых</w:t>
            </w:r>
            <w:r>
              <w:rPr>
                <w:rFonts w:ascii="Arial" w:hAnsi="Arial" w:cs="Arial"/>
                <w:color w:val="000000"/>
              </w:rPr>
              <w:t xml:space="preserve">), </w:t>
            </w:r>
            <w:r>
              <w:rPr>
                <w:rFonts w:ascii="Arial" w:hAnsi="Arial" w:cs="Arial"/>
                <w:color w:val="000000"/>
              </w:rPr>
              <w:t>анализ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областям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подразделениям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направлениям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обеспечением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применяемым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предусмотрены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автоматизированные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тестирование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вводимых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сквозной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нумерации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последующей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выдачей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выполняющему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сообщений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справок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несоответствиях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предполагает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исправление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ошибок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момент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ввода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либо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впо</w:t>
            </w:r>
            <w:r>
              <w:rPr>
                <w:rFonts w:ascii="Arial" w:hAnsi="Arial" w:cs="Arial"/>
                <w:color w:val="000000"/>
              </w:rPr>
              <w:t>следствии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мероприятия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ограничивающие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доступ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программному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базам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активам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бухгалтерским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записям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60</w:t>
            </w:r>
          </w:p>
        </w:tc>
        <w:tc>
          <w:tcPr>
            <w:tcW w:w="60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Программное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обеспечение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используемое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подготовки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регулярно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обновляется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60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регулярно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проводятся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плановые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внезапные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евизии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ТМЦ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контрагентами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60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применяется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</w:t>
            </w:r>
            <w:r>
              <w:rPr>
                <w:rFonts w:ascii="Arial" w:hAnsi="Arial" w:cs="Arial"/>
                <w:color w:val="000000"/>
              </w:rPr>
              <w:t>еление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сотрудников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выдачи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разрешения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совершение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регистрацию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помогает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выявлять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ошибки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надежности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элемента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галкой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Низкий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3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8" w:name="279"/>
      <w:bookmarkEnd w:id="48"/>
      <w:r>
        <w:rPr>
          <w:rFonts w:ascii="Arial" w:hAnsi="Arial" w:cs="Arial"/>
          <w:b/>
          <w:bCs/>
          <w:color w:val="000000"/>
        </w:rPr>
        <w:t>М</w:t>
      </w:r>
      <w:r>
        <w:rPr>
          <w:rFonts w:ascii="Arial" w:hAnsi="Arial" w:cs="Arial"/>
          <w:b/>
          <w:bCs/>
          <w:color w:val="000000"/>
        </w:rPr>
        <w:t>ониторинг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средств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контроля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308"/>
        <w:gridCol w:w="170"/>
        <w:gridCol w:w="1530"/>
        <w:gridCol w:w="1530"/>
        <w:gridCol w:w="2211"/>
        <w:gridCol w:w="283"/>
        <w:gridCol w:w="136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Мониторинг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вопрос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92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элемента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СВК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213360" cy="18288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Примечание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Мониторинг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средств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представляет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собой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процесс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эффективного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функционирования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системы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внутреннего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времени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Необходимо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указать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осуществляется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такой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процесс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прив</w:t>
            </w:r>
            <w:r>
              <w:rPr>
                <w:rFonts w:ascii="Arial" w:hAnsi="Arial" w:cs="Arial"/>
                <w:i/>
                <w:iCs/>
                <w:color w:val="000000"/>
              </w:rPr>
              <w:t>ести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его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краткую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характеристику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Следует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описать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каким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образом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осуществляется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наблюдение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функционируют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средства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были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они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изменены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надлежащим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образом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случае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необходимости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Может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включать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такие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мероприятия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как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</w:rPr>
              <w:t>блюдение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руководства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своевременно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подготавливаются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выверки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расчетов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банками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внутренними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аудиторами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соответствия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действий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персонала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занимающегося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продажами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политике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отношении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определенных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условий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договоров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покупат</w:t>
            </w:r>
            <w:r>
              <w:rPr>
                <w:rFonts w:ascii="Arial" w:hAnsi="Arial" w:cs="Arial"/>
                <w:i/>
                <w:iCs/>
                <w:color w:val="000000"/>
              </w:rPr>
              <w:t>елями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осуществление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надзора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соответствием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действия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персонала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политике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аудируемого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лица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области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этики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деловой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практики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6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производится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своевременное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вызв</w:t>
            </w:r>
            <w:r>
              <w:rPr>
                <w:rFonts w:ascii="Arial" w:hAnsi="Arial" w:cs="Arial"/>
                <w:color w:val="000000"/>
              </w:rPr>
              <w:t>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6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регулярно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осуществляются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надзорные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контролирующие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мероприятия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функционирования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наблюдение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своевременностью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подготовки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выверок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занимающегося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закупкой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реализацией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политики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проведением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60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используется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внешняя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мониторинга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</w:t>
            </w:r>
            <w:r>
              <w:rPr>
                <w:rFonts w:ascii="Arial" w:hAnsi="Arial" w:cs="Arial"/>
                <w:color w:val="000000"/>
              </w:rPr>
              <w:t>оля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рекомендации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внешних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аудиторов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внутреннего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информация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контрагентов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6680" cy="10668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Оценка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надежности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элемента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галкой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49" w:name="283"/>
      <w:bookmarkEnd w:id="49"/>
      <w:r>
        <w:rPr>
          <w:rFonts w:ascii="Arial" w:hAnsi="Arial" w:cs="Arial"/>
          <w:b/>
          <w:bCs/>
          <w:color w:val="000000"/>
        </w:rPr>
        <w:t>Прочее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3174"/>
        <w:gridCol w:w="1530"/>
        <w:gridCol w:w="1530"/>
        <w:gridCol w:w="2211"/>
        <w:gridCol w:w="283"/>
        <w:gridCol w:w="136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Прочее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вопрос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0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</w:t>
            </w:r>
            <w:r>
              <w:rPr>
                <w:rFonts w:ascii="Arial" w:hAnsi="Arial" w:cs="Arial"/>
                <w:color w:val="000000"/>
              </w:rPr>
              <w:t>ита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выявлено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работников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оказывающих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влияние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&lt;*&gt;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--------------------------------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&lt;*&gt; </w:t>
            </w:r>
            <w:r>
              <w:rPr>
                <w:rFonts w:ascii="Arial" w:hAnsi="Arial" w:cs="Arial"/>
                <w:color w:val="000000"/>
              </w:rPr>
              <w:t>Заполняется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итогам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рассмотрения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  <w:r w:rsidR="007420D0">
              <w:rPr>
                <w:rFonts w:ascii="Arial" w:hAnsi="Arial" w:cs="Arial"/>
                <w:color w:val="000000"/>
              </w:rPr>
              <w:t xml:space="preserve">, </w:t>
            </w:r>
            <w:r w:rsidR="007420D0">
              <w:rPr>
                <w:rFonts w:ascii="Arial" w:hAnsi="Arial" w:cs="Arial"/>
                <w:color w:val="000000"/>
              </w:rPr>
              <w:t>не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выявлено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выявлены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недобросовестные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действия</w:t>
            </w:r>
          </w:p>
        </w:tc>
        <w:tc>
          <w:tcPr>
            <w:tcW w:w="2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вывод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нормативных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актов</w:t>
            </w:r>
            <w:r>
              <w:rPr>
                <w:rFonts w:ascii="Arial" w:hAnsi="Arial" w:cs="Arial"/>
                <w:color w:val="000000"/>
              </w:rPr>
              <w:t xml:space="preserve"> &lt;**&gt;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--------------------------------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&lt;**&gt; </w:t>
            </w:r>
            <w:r>
              <w:rPr>
                <w:rFonts w:ascii="Arial" w:hAnsi="Arial" w:cs="Arial"/>
                <w:color w:val="000000"/>
              </w:rPr>
              <w:t>Заполняется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итогам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рассмотрения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нормативных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частично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06680" cy="10668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нет</w:t>
            </w:r>
            <w:r w:rsidR="007420D0">
              <w:rPr>
                <w:rFonts w:ascii="Arial" w:hAnsi="Arial" w:cs="Arial"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color w:val="000000"/>
              </w:rPr>
              <w:t>ответа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Обобщающая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риска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СВК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отметить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галкой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Низкий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вывод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системе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внутреннего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8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Исполнил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85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подпись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обозначение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85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Проверил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85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</w:rPr>
              <w:t>подпись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обозначение</w:t>
            </w:r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0" w:name="300"/>
      <w:bookmarkEnd w:id="5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51" w:name="259"/>
      <w:bookmarkEnd w:id="51"/>
      <w:r>
        <w:rPr>
          <w:rFonts w:ascii="Arial" w:hAnsi="Arial" w:cs="Arial"/>
          <w:b/>
          <w:bCs/>
          <w:color w:val="000000"/>
        </w:rPr>
        <w:t>См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данную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форму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MS-Word.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52" w:name="243"/>
      <w:bookmarkEnd w:id="52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3" w:name="28"/>
      <w:bookmarkEnd w:id="53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</w:t>
      </w:r>
      <w:r>
        <w:rPr>
          <w:rFonts w:ascii="Arial" w:hAnsi="Arial" w:cs="Arial"/>
          <w:color w:val="000000"/>
        </w:rPr>
        <w:t>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вероятно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низким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149"/>
      <w:bookmarkEnd w:id="54"/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315 </w:t>
      </w:r>
      <w:r>
        <w:rPr>
          <w:rFonts w:ascii="Arial" w:hAnsi="Arial" w:cs="Arial"/>
          <w:color w:val="000000"/>
        </w:rPr>
        <w:t>содержит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краткое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описание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29"/>
      <w:bookmarkEnd w:id="55"/>
      <w:r>
        <w:rPr>
          <w:rFonts w:ascii="Arial" w:hAnsi="Arial" w:cs="Arial"/>
          <w:color w:val="000000"/>
        </w:rPr>
        <w:t>Компоненты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30"/>
      <w:bookmarkEnd w:id="56"/>
      <w:r>
        <w:rPr>
          <w:rFonts w:ascii="Arial" w:hAnsi="Arial" w:cs="Arial"/>
          <w:i/>
          <w:iCs/>
          <w:color w:val="000000"/>
        </w:rPr>
        <w:t xml:space="preserve">1. </w:t>
      </w:r>
      <w:r>
        <w:rPr>
          <w:rFonts w:ascii="Arial" w:hAnsi="Arial" w:cs="Arial"/>
          <w:i/>
          <w:iCs/>
          <w:color w:val="000000"/>
        </w:rPr>
        <w:t>Контрольная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среда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141"/>
      <w:bookmarkEnd w:id="57"/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помощь</w:t>
      </w:r>
      <w:r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142"/>
      <w:bookmarkEnd w:id="5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распространение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внедрение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принципа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честности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других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этических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ценностей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поддерживать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честную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поведенческие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стандарты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</w:t>
      </w:r>
      <w:r>
        <w:rPr>
          <w:rFonts w:ascii="Arial" w:hAnsi="Arial" w:cs="Arial"/>
          <w:color w:val="000000"/>
        </w:rPr>
        <w:t>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через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кодексы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поведения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143"/>
      <w:bookmarkEnd w:id="5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приверженность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компетенции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набирало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компетентных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обладают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навыками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144"/>
      <w:bookmarkEnd w:id="6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участие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лиц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отвечающих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корпоративное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осознание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степени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опыт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авторитет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степень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вовлеченности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уместность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145"/>
      <w:bookmarkEnd w:id="6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философия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руководства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стиль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Философия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стиль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менеджмента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спектра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реагированию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</w:t>
      </w:r>
      <w:r>
        <w:rPr>
          <w:rFonts w:ascii="Arial" w:hAnsi="Arial" w:cs="Arial"/>
          <w:color w:val="000000"/>
        </w:rPr>
        <w:t>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бухгалтерского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персонала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д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Философия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стиль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контролю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146"/>
      <w:bookmarkEnd w:id="6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организационная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структура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планир</w:t>
      </w:r>
      <w:r>
        <w:rPr>
          <w:rFonts w:ascii="Arial" w:hAnsi="Arial" w:cs="Arial"/>
          <w:color w:val="000000"/>
        </w:rPr>
        <w:t>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147"/>
      <w:bookmarkEnd w:id="6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распределение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полномочий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ответственности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разрабатывает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обязанностей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148"/>
      <w:bookmarkEnd w:id="6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кадр</w:t>
      </w:r>
      <w:r>
        <w:rPr>
          <w:rFonts w:ascii="Arial" w:hAnsi="Arial" w:cs="Arial"/>
          <w:i/>
          <w:iCs/>
          <w:color w:val="000000"/>
        </w:rPr>
        <w:t>овая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политика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практика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приверженности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компетенции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найма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предыдущего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атрибутов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65" w:name="38"/>
      <w:bookmarkEnd w:id="65"/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Оценка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риска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150"/>
      <w:bookmarkEnd w:id="66"/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значимость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вероятность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возникновения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принять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устранению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Примеры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</w:t>
      </w:r>
      <w:r>
        <w:rPr>
          <w:rFonts w:ascii="Arial" w:hAnsi="Arial" w:cs="Arial"/>
          <w:color w:val="000000"/>
        </w:rPr>
        <w:t>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39"/>
      <w:bookmarkEnd w:id="6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изменения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операционной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правовой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конкурентного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рискам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40"/>
      <w:bookmarkEnd w:id="6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новый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персонал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</w:t>
      </w:r>
      <w:r>
        <w:rPr>
          <w:rFonts w:ascii="Arial" w:hAnsi="Arial" w:cs="Arial"/>
          <w:color w:val="000000"/>
        </w:rPr>
        <w:t>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41"/>
      <w:bookmarkEnd w:id="6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новые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обновленные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информационные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Значительные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быстрые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контролем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42"/>
      <w:bookmarkEnd w:id="7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быстрый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рост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Значительное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быстрое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привес</w:t>
      </w:r>
      <w:r>
        <w:rPr>
          <w:rFonts w:ascii="Arial" w:hAnsi="Arial" w:cs="Arial"/>
          <w:color w:val="000000"/>
        </w:rPr>
        <w:t>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перегрузке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43"/>
      <w:bookmarkEnd w:id="7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44"/>
      <w:bookmarkEnd w:id="72"/>
      <w:r>
        <w:rPr>
          <w:rFonts w:ascii="Arial" w:hAnsi="Arial" w:cs="Arial"/>
          <w:i/>
          <w:iCs/>
          <w:color w:val="000000"/>
        </w:rPr>
        <w:t xml:space="preserve">3. </w:t>
      </w:r>
      <w:r>
        <w:rPr>
          <w:rFonts w:ascii="Arial" w:hAnsi="Arial" w:cs="Arial"/>
          <w:i/>
          <w:iCs/>
          <w:color w:val="000000"/>
        </w:rPr>
        <w:t>Информационная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система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информационное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взаимодействие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151"/>
      <w:bookmarkEnd w:id="73"/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процессы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45"/>
      <w:bookmarkEnd w:id="7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классы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Имеющиеся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инициируются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регистрируются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обрабатываются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корректируются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переносятся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книгу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отражаются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46"/>
      <w:bookmarkEnd w:id="7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фиксирует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значимые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47"/>
      <w:bookmarkEnd w:id="7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процесс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7" w:name="48"/>
      <w:bookmarkEnd w:id="7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управление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журнале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49"/>
      <w:bookmarkEnd w:id="7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сообщает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наделенным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полномочиями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79" w:name="50"/>
      <w:bookmarkEnd w:id="79"/>
      <w:r>
        <w:rPr>
          <w:rFonts w:ascii="Arial" w:hAnsi="Arial" w:cs="Arial"/>
          <w:i/>
          <w:iCs/>
          <w:color w:val="000000"/>
        </w:rPr>
        <w:t xml:space="preserve">4. </w:t>
      </w:r>
      <w:r>
        <w:rPr>
          <w:rFonts w:ascii="Arial" w:hAnsi="Arial" w:cs="Arial"/>
          <w:i/>
          <w:iCs/>
          <w:color w:val="000000"/>
        </w:rPr>
        <w:t>Контрольная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деятельность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152"/>
      <w:bookmarkEnd w:id="80"/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</w:t>
      </w:r>
      <w:r>
        <w:rPr>
          <w:rFonts w:ascii="Arial" w:hAnsi="Arial" w:cs="Arial"/>
          <w:color w:val="000000"/>
        </w:rPr>
        <w:t>приятий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предпосылок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дальнейшие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реагирования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транзакций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анализ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производительности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обработка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записями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управлению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практике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следующее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51"/>
      <w:bookmarkEnd w:id="8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обзор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деятельности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обзоры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сравнении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бюджетами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прогнозами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показателями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предыдущий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2" w:name="52"/>
      <w:bookmarkEnd w:id="8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обработка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информации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53"/>
      <w:bookmarkEnd w:id="8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физический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конт</w:t>
      </w:r>
      <w:r>
        <w:rPr>
          <w:rFonts w:ascii="Arial" w:hAnsi="Arial" w:cs="Arial"/>
          <w:i/>
          <w:iCs/>
          <w:color w:val="000000"/>
        </w:rPr>
        <w:t>роль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включая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физическую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активов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54"/>
      <w:bookmarkEnd w:id="8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распределение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обязанностей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85" w:name="55"/>
      <w:bookmarkEnd w:id="85"/>
      <w:r>
        <w:rPr>
          <w:rFonts w:ascii="Arial" w:hAnsi="Arial" w:cs="Arial"/>
          <w:i/>
          <w:iCs/>
          <w:color w:val="000000"/>
        </w:rPr>
        <w:t xml:space="preserve">5. </w:t>
      </w:r>
      <w:r>
        <w:rPr>
          <w:rFonts w:ascii="Arial" w:hAnsi="Arial" w:cs="Arial"/>
          <w:i/>
          <w:iCs/>
          <w:color w:val="000000"/>
        </w:rPr>
        <w:t>Мониторинг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контроля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153"/>
      <w:bookmarkEnd w:id="86"/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введению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оставались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адекв</w:t>
      </w:r>
      <w:r>
        <w:rPr>
          <w:rFonts w:ascii="Arial" w:hAnsi="Arial" w:cs="Arial"/>
          <w:color w:val="000000"/>
        </w:rPr>
        <w:t>атными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относящегося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инициирует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корректирующие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управления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мониторинге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Источником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внутренний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7" w:name="56"/>
      <w:bookmarkEnd w:id="87"/>
      <w:r>
        <w:rPr>
          <w:rFonts w:ascii="Arial" w:hAnsi="Arial" w:cs="Arial"/>
          <w:color w:val="000000"/>
        </w:rPr>
        <w:t>Эф</w:t>
      </w:r>
      <w:r>
        <w:rPr>
          <w:rFonts w:ascii="Arial" w:hAnsi="Arial" w:cs="Arial"/>
          <w:color w:val="000000"/>
        </w:rPr>
        <w:t>фективные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разумную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абсолютную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гарантию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</w:t>
      </w:r>
      <w:r>
        <w:rPr>
          <w:rFonts w:ascii="Arial" w:hAnsi="Arial" w:cs="Arial"/>
          <w:color w:val="000000"/>
        </w:rPr>
        <w:t>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предпосылок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классов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остатков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раскрытия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154"/>
      <w:bookmarkEnd w:id="88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89" w:name="155"/>
      <w:bookmarkEnd w:id="89"/>
      <w:r>
        <w:rPr>
          <w:rFonts w:ascii="Arial" w:hAnsi="Arial" w:cs="Arial"/>
          <w:b/>
          <w:bCs/>
          <w:color w:val="000000"/>
        </w:rPr>
        <w:t>Пример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рабочего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документа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аудитора</w:t>
      </w:r>
      <w:r>
        <w:rPr>
          <w:rFonts w:ascii="Arial" w:hAnsi="Arial" w:cs="Arial"/>
          <w:b/>
          <w:bCs/>
          <w:color w:val="000000"/>
        </w:rPr>
        <w:t xml:space="preserve"> “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рисков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существенного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искажения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отчетности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0" w:name="302"/>
      <w:bookmarkEnd w:id="9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0"/>
        <w:gridCol w:w="3174"/>
        <w:gridCol w:w="1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РИСКОВ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СУЩЕСТВЕННОГО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ИСКАЖЕНИЯ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документа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ПЕРИОД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XX.XX.XXXX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XX.XX.XXXX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Цель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выявить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оценить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существенного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искажения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уровне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целом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разрез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1" w:name="304"/>
      <w:bookmarkEnd w:id="91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2" w:name="305"/>
      <w:bookmarkEnd w:id="92"/>
      <w:r>
        <w:rPr>
          <w:rFonts w:ascii="Arial" w:hAnsi="Arial" w:cs="Arial"/>
          <w:b/>
          <w:bCs/>
          <w:color w:val="000000"/>
        </w:rPr>
        <w:t xml:space="preserve">I.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РСИ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уровне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отчетности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705"/>
        <w:gridCol w:w="2607"/>
        <w:gridCol w:w="2777"/>
        <w:gridCol w:w="2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I.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уровне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риски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потенциально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влияют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предпосылки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возникающие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чаще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недостатков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недобросовестных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обхода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влияния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экономических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условий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470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Фактор</w:t>
            </w:r>
          </w:p>
        </w:tc>
        <w:tc>
          <w:tcPr>
            <w:tcW w:w="8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Средняя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28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Внешние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условия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Экономическая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стабильнос</w:t>
            </w:r>
            <w:r>
              <w:rPr>
                <w:rFonts w:ascii="Arial" w:hAnsi="Arial" w:cs="Arial"/>
                <w:color w:val="000000"/>
              </w:rPr>
              <w:t>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регионе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Экономическая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стабильность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стране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Сложность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нормативно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правового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регулирования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Характер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Территориальное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расширение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Реорганизация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сложных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механизмов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Информационная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система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персонала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опытом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информацио</w:t>
            </w:r>
            <w:r>
              <w:rPr>
                <w:rFonts w:ascii="Arial" w:hAnsi="Arial" w:cs="Arial"/>
                <w:color w:val="000000"/>
              </w:rPr>
              <w:t>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отчетностью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нововведений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сфере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Бизнес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судебных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условных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Проблемы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непрерывностью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</w:t>
            </w:r>
            <w:r>
              <w:rPr>
                <w:rFonts w:ascii="Arial" w:hAnsi="Arial" w:cs="Arial"/>
                <w:color w:val="000000"/>
              </w:rPr>
              <w:t>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значительной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неопределенностью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крупных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сделок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сторонами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Контрольная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принципы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стиль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полномочий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</w:t>
            </w:r>
            <w:r>
              <w:rPr>
                <w:rFonts w:ascii="Arial" w:hAnsi="Arial" w:cs="Arial"/>
                <w:color w:val="000000"/>
              </w:rPr>
              <w:t>ностей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Кадровая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политика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практика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Опыт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большой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опыт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опыт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Неопытное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несколько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проверяемым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</w:t>
            </w:r>
            <w:r>
              <w:rPr>
                <w:rFonts w:ascii="Arial" w:hAnsi="Arial" w:cs="Arial"/>
                <w:color w:val="000000"/>
              </w:rPr>
              <w:t>водители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менялись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проверяемом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руководители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менялись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изменения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проверяемом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Необычное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склонить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искажению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отсутствует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давление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скорее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отсутствует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Контрольные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1.21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Обзорные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информационными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носителями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Надежность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физических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контроля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Мониторинг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руководством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факторов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искажению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описать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какие</w:t>
            </w:r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факторов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факторы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представляются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несущественными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Итоговая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уровне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Низкая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Средняя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Высокая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Уровень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существенности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целом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___________________________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уровне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отчетности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):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3" w:name="309"/>
      <w:bookmarkEnd w:id="93"/>
      <w:r>
        <w:rPr>
          <w:rFonts w:ascii="Arial" w:hAnsi="Arial" w:cs="Arial"/>
          <w:b/>
          <w:bCs/>
          <w:color w:val="000000"/>
        </w:rPr>
        <w:t xml:space="preserve">II. </w:t>
      </w:r>
      <w:r>
        <w:rPr>
          <w:rFonts w:ascii="Arial" w:hAnsi="Arial" w:cs="Arial"/>
          <w:b/>
          <w:bCs/>
          <w:color w:val="000000"/>
        </w:rPr>
        <w:t>Оценка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РСИ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уровне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предпосылок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4" w:name="317"/>
      <w:bookmarkEnd w:id="94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-70 “</w:t>
      </w:r>
      <w:r>
        <w:rPr>
          <w:rFonts w:ascii="Arial" w:hAnsi="Arial" w:cs="Arial"/>
          <w:b/>
          <w:bCs/>
          <w:color w:val="000000"/>
        </w:rPr>
        <w:t>Внеоборотные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активы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кроме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нематериальных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активов</w:t>
      </w:r>
      <w:r>
        <w:rPr>
          <w:rFonts w:ascii="Arial" w:hAnsi="Arial" w:cs="Arial"/>
          <w:b/>
          <w:bCs/>
          <w:color w:val="000000"/>
        </w:rPr>
        <w:t>)”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040"/>
        <w:gridCol w:w="2551"/>
        <w:gridCol w:w="3911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II.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уровне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осуществляется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каждо</w:t>
            </w:r>
            <w:r>
              <w:rPr>
                <w:rFonts w:ascii="Arial" w:hAnsi="Arial" w:cs="Arial"/>
                <w:color w:val="000000"/>
              </w:rPr>
              <w:t>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значимому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182880" cy="18288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Справочно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Значимый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раздел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  <w:r>
              <w:rPr>
                <w:rFonts w:ascii="Arial" w:hAnsi="Arial" w:cs="Arial"/>
                <w:i/>
                <w:iCs/>
                <w:color w:val="000000"/>
              </w:rPr>
              <w:t>это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операции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остатки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счетам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раскрытие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информации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которым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характера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организации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ожидаются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существенные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искажения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</w:t>
            </w:r>
            <w:r>
              <w:rPr>
                <w:rFonts w:ascii="Arial" w:hAnsi="Arial" w:cs="Arial"/>
                <w:b/>
                <w:bCs/>
                <w:color w:val="000000"/>
              </w:rPr>
              <w:t>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  <w:p w:rsidR="00000000" w:rsidRDefault="00F8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>
                  <wp:extent cx="182880" cy="18288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="007420D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Справочно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Комбинированная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РСИ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осуществляется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учетом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неотъемлемого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значимости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вероятности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искажений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средств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Значительный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возникающий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нестандартным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нетипичным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сложным</w:t>
            </w:r>
            <w:r>
              <w:rPr>
                <w:rFonts w:ascii="Arial" w:hAnsi="Arial" w:cs="Arial"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редким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  <w:r>
              <w:rPr>
                <w:rFonts w:ascii="Arial" w:hAnsi="Arial" w:cs="Arial"/>
                <w:i/>
                <w:iCs/>
                <w:color w:val="000000"/>
              </w:rPr>
              <w:t>операциям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или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вопросам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связанным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суждениями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например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</w:rPr>
              <w:t>с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определением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оценочных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значений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Значительные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всегда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требуют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проведения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детальных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тестов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существу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00000"/>
              </w:rPr>
              <w:t>Информация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об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отсутствии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средств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значимому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риску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отражается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отчет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недостаткам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средств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внутреннего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контроля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</w:rPr>
              <w:t>МСА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265)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-70 “</w:t>
            </w:r>
            <w:r>
              <w:rPr>
                <w:rFonts w:ascii="Arial" w:hAnsi="Arial" w:cs="Arial"/>
                <w:b/>
                <w:bCs/>
                <w:color w:val="000000"/>
              </w:rPr>
              <w:t>Внеоборотные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активы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активов</w:t>
            </w:r>
            <w:r>
              <w:rPr>
                <w:rFonts w:ascii="Arial" w:hAnsi="Arial" w:cs="Arial"/>
                <w:b/>
                <w:bCs/>
                <w:color w:val="000000"/>
              </w:rPr>
              <w:t>)”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пр</w:t>
            </w:r>
            <w:r>
              <w:rPr>
                <w:rFonts w:ascii="Arial" w:hAnsi="Arial" w:cs="Arial"/>
                <w:color w:val="000000"/>
              </w:rPr>
              <w:t>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владения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распоряжения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существующие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</w:t>
            </w:r>
            <w:r>
              <w:rPr>
                <w:rFonts w:ascii="Arial" w:hAnsi="Arial" w:cs="Arial"/>
                <w:color w:val="000000"/>
              </w:rPr>
              <w:t>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</w:t>
            </w:r>
            <w:r>
              <w:rPr>
                <w:rFonts w:ascii="Arial" w:hAnsi="Arial" w:cs="Arial"/>
                <w:color w:val="000000"/>
              </w:rPr>
              <w:t>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</w:t>
            </w:r>
            <w:r>
              <w:rPr>
                <w:rFonts w:ascii="Arial" w:hAnsi="Arial" w:cs="Arial"/>
                <w:color w:val="000000"/>
              </w:rPr>
              <w:t>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</w:t>
            </w:r>
            <w:r>
              <w:rPr>
                <w:rFonts w:ascii="Arial" w:hAnsi="Arial" w:cs="Arial"/>
                <w:color w:val="000000"/>
              </w:rPr>
              <w:t>ством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-70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5" w:name="450"/>
      <w:bookmarkEnd w:id="95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-60 “</w:t>
      </w:r>
      <w:r>
        <w:rPr>
          <w:rFonts w:ascii="Arial" w:hAnsi="Arial" w:cs="Arial"/>
          <w:b/>
          <w:bCs/>
          <w:color w:val="000000"/>
        </w:rPr>
        <w:t>Нематериальные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активы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040"/>
        <w:gridCol w:w="2551"/>
        <w:gridCol w:w="3911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-60 “</w:t>
            </w:r>
            <w:r>
              <w:rPr>
                <w:rFonts w:ascii="Arial" w:hAnsi="Arial" w:cs="Arial"/>
                <w:b/>
                <w:bCs/>
                <w:color w:val="000000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активы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>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нематериальные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3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нематериальные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</w:t>
            </w:r>
            <w:r>
              <w:rPr>
                <w:rFonts w:ascii="Arial" w:hAnsi="Arial" w:cs="Arial"/>
                <w:color w:val="000000"/>
              </w:rPr>
              <w:t>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владения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распоряжения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</w:t>
            </w:r>
            <w:r>
              <w:rPr>
                <w:rFonts w:ascii="Arial" w:hAnsi="Arial" w:cs="Arial"/>
                <w:color w:val="000000"/>
              </w:rPr>
              <w:t>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нематериальные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существующие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</w:t>
            </w:r>
            <w:r>
              <w:rPr>
                <w:rFonts w:ascii="Arial" w:hAnsi="Arial" w:cs="Arial"/>
                <w:color w:val="000000"/>
              </w:rPr>
              <w:t>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>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нематериальными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активами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</w:t>
            </w:r>
            <w:r>
              <w:rPr>
                <w:rFonts w:ascii="Arial" w:hAnsi="Arial" w:cs="Arial"/>
                <w:color w:val="000000"/>
              </w:rPr>
              <w:t>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нематериальные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</w:t>
            </w:r>
            <w:r>
              <w:rPr>
                <w:rFonts w:ascii="Arial" w:hAnsi="Arial" w:cs="Arial"/>
                <w:color w:val="000000"/>
              </w:rPr>
              <w:t>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нематериальных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активах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-60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6" w:name="452"/>
      <w:bookmarkEnd w:id="96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-45 “</w:t>
      </w:r>
      <w:r>
        <w:rPr>
          <w:rFonts w:ascii="Arial" w:hAnsi="Arial" w:cs="Arial"/>
          <w:b/>
          <w:bCs/>
          <w:color w:val="000000"/>
        </w:rPr>
        <w:t>Сырье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материалы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прочие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оборотные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активы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-45 “</w:t>
            </w:r>
            <w:r>
              <w:rPr>
                <w:rFonts w:ascii="Arial" w:hAnsi="Arial" w:cs="Arial"/>
                <w:b/>
                <w:bCs/>
                <w:color w:val="000000"/>
              </w:rPr>
              <w:t>Сырье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материалы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прочие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оборотные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активы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Учтенные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материальные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запасы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отсутствуют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дату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Инвентаризация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наличию</w:t>
            </w:r>
            <w:r>
              <w:rPr>
                <w:rFonts w:ascii="Arial" w:hAnsi="Arial" w:cs="Arial"/>
                <w:color w:val="000000"/>
              </w:rPr>
              <w:t xml:space="preserve">). </w:t>
            </w:r>
            <w:r>
              <w:rPr>
                <w:rFonts w:ascii="Arial" w:hAnsi="Arial" w:cs="Arial"/>
                <w:color w:val="000000"/>
              </w:rPr>
              <w:t>Наличие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перечня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должностных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подписывать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Разделение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полномочий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ответственных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МПЗ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учтены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оприходованы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излишне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списаны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Инвентаризация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наличия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учету</w:t>
            </w:r>
            <w:r>
              <w:rPr>
                <w:rFonts w:ascii="Arial" w:hAnsi="Arial" w:cs="Arial"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Автоматический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ввода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закупкам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отпуска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производство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соблюдения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установленных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норм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запасов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бесперебойной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Учтенные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принадлежат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количества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товаров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ответственно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хранении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давальческого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сырья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поклажедателем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заказчиком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дату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Санкционирование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закупок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закупок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некорректную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оценку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Например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сформирован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</w:t>
            </w:r>
            <w:r>
              <w:rPr>
                <w:rFonts w:ascii="Arial" w:hAnsi="Arial" w:cs="Arial"/>
                <w:color w:val="000000"/>
              </w:rPr>
              <w:t>зерв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уценку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МПЗ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Регламентированные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устойчивое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снижение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МПЗ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привлечению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оценщика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процедуры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определению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справедливой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Автоматический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ввода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закупкам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складского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</w:t>
            </w:r>
            <w:r>
              <w:rPr>
                <w:rFonts w:ascii="Arial" w:hAnsi="Arial" w:cs="Arial"/>
                <w:color w:val="000000"/>
              </w:rPr>
              <w:t>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7" w:name="328"/>
      <w:bookmarkEnd w:id="97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-47 “</w:t>
      </w:r>
      <w:r>
        <w:rPr>
          <w:rFonts w:ascii="Arial" w:hAnsi="Arial" w:cs="Arial"/>
          <w:b/>
          <w:bCs/>
          <w:color w:val="000000"/>
        </w:rPr>
        <w:t>Готовая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продукция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товары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товары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отгруженные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-47 “</w:t>
            </w:r>
            <w:r>
              <w:rPr>
                <w:rFonts w:ascii="Arial" w:hAnsi="Arial" w:cs="Arial"/>
                <w:b/>
                <w:bCs/>
                <w:color w:val="000000"/>
              </w:rPr>
              <w:t>Готовая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продукция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товары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товары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отгруженные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готовая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существует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готовую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владения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пользования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распоряжения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готовая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принадлежащая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существующая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</w:t>
            </w:r>
            <w:r>
              <w:rPr>
                <w:rFonts w:ascii="Arial" w:hAnsi="Arial" w:cs="Arial"/>
                <w:color w:val="000000"/>
              </w:rPr>
              <w:t>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готовой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продукцией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готовая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готово</w:t>
            </w:r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-46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8" w:name="334"/>
      <w:bookmarkEnd w:id="98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-35 “</w:t>
      </w:r>
      <w:r>
        <w:rPr>
          <w:rFonts w:ascii="Arial" w:hAnsi="Arial" w:cs="Arial"/>
          <w:b/>
          <w:bCs/>
          <w:color w:val="000000"/>
        </w:rPr>
        <w:t>Дебиторская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задолженность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-35 “</w:t>
            </w:r>
            <w:r>
              <w:rPr>
                <w:rFonts w:ascii="Arial" w:hAnsi="Arial" w:cs="Arial"/>
                <w:b/>
                <w:bCs/>
                <w:color w:val="000000"/>
              </w:rPr>
              <w:t>Дебиторская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задолженность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</w:t>
            </w:r>
            <w:r>
              <w:rPr>
                <w:rFonts w:ascii="Arial" w:hAnsi="Arial" w:cs="Arial"/>
                <w:b/>
                <w:bCs/>
                <w:color w:val="000000"/>
              </w:rPr>
              <w:t>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</w:t>
            </w:r>
            <w:r>
              <w:rPr>
                <w:rFonts w:ascii="Arial" w:hAnsi="Arial" w:cs="Arial"/>
                <w:color w:val="000000"/>
              </w:rPr>
              <w:t>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существует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требования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</w:t>
            </w:r>
            <w:r>
              <w:rPr>
                <w:rFonts w:ascii="Arial" w:hAnsi="Arial" w:cs="Arial"/>
                <w:color w:val="000000"/>
              </w:rPr>
              <w:t>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требовани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задолженностью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</w:t>
            </w:r>
            <w:r>
              <w:rPr>
                <w:rFonts w:ascii="Arial" w:hAnsi="Arial" w:cs="Arial"/>
                <w:color w:val="000000"/>
              </w:rPr>
              <w:t>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</w:t>
            </w:r>
            <w:r>
              <w:rPr>
                <w:rFonts w:ascii="Arial" w:hAnsi="Arial" w:cs="Arial"/>
                <w:color w:val="000000"/>
              </w:rPr>
              <w:t>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</w:t>
            </w:r>
            <w:r>
              <w:rPr>
                <w:rFonts w:ascii="Arial" w:hAnsi="Arial" w:cs="Arial"/>
                <w:color w:val="000000"/>
              </w:rPr>
              <w:t>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дебиторской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-35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99" w:name="337"/>
      <w:bookmarkEnd w:id="99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-25 “</w:t>
      </w:r>
      <w:r>
        <w:rPr>
          <w:rFonts w:ascii="Arial" w:hAnsi="Arial" w:cs="Arial"/>
          <w:b/>
          <w:bCs/>
          <w:color w:val="000000"/>
        </w:rPr>
        <w:t>Финансовые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вложения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-25 “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вложения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</w:t>
            </w:r>
            <w:r>
              <w:rPr>
                <w:rFonts w:ascii="Arial" w:hAnsi="Arial" w:cs="Arial"/>
                <w:b/>
                <w:bCs/>
                <w:color w:val="000000"/>
              </w:rPr>
              <w:t>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вложения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вложения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</w:t>
            </w:r>
            <w:r>
              <w:rPr>
                <w:rFonts w:ascii="Arial" w:hAnsi="Arial" w:cs="Arial"/>
                <w:color w:val="000000"/>
              </w:rPr>
              <w:t>ожения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принадлежащие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существующие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</w:t>
            </w:r>
            <w:r>
              <w:rPr>
                <w:rFonts w:ascii="Arial" w:hAnsi="Arial" w:cs="Arial"/>
                <w:color w:val="000000"/>
              </w:rPr>
              <w:t>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вложениями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вложения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</w:t>
            </w:r>
            <w:r>
              <w:rPr>
                <w:rFonts w:ascii="Arial" w:hAnsi="Arial" w:cs="Arial"/>
                <w:color w:val="000000"/>
              </w:rPr>
              <w:t>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вложениях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-25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0" w:name="341"/>
      <w:bookmarkEnd w:id="100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-15 “</w:t>
      </w:r>
      <w:r>
        <w:rPr>
          <w:rFonts w:ascii="Arial" w:hAnsi="Arial" w:cs="Arial"/>
          <w:b/>
          <w:bCs/>
          <w:color w:val="000000"/>
        </w:rPr>
        <w:t>Денежные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средства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-15 “</w:t>
            </w:r>
            <w:r>
              <w:rPr>
                <w:rFonts w:ascii="Arial" w:hAnsi="Arial" w:cs="Arial"/>
                <w:b/>
                <w:bCs/>
                <w:color w:val="000000"/>
              </w:rPr>
              <w:t>Денежные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</w:t>
            </w:r>
            <w:r>
              <w:rPr>
                <w:rFonts w:ascii="Arial" w:hAnsi="Arial" w:cs="Arial"/>
                <w:b/>
                <w:bCs/>
                <w:color w:val="000000"/>
              </w:rPr>
              <w:t>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</w:t>
            </w:r>
            <w:r>
              <w:rPr>
                <w:rFonts w:ascii="Arial" w:hAnsi="Arial" w:cs="Arial"/>
                <w:color w:val="000000"/>
              </w:rPr>
              <w:t>инадлежащие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</w:t>
            </w:r>
            <w:r>
              <w:rPr>
                <w:rFonts w:ascii="Arial" w:hAnsi="Arial" w:cs="Arial"/>
                <w:color w:val="000000"/>
              </w:rPr>
              <w:t>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были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денежных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средствах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1" w:name="345"/>
      <w:bookmarkEnd w:id="101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-120 “</w:t>
      </w:r>
      <w:r>
        <w:rPr>
          <w:rFonts w:ascii="Arial" w:hAnsi="Arial" w:cs="Arial"/>
          <w:b/>
          <w:bCs/>
          <w:color w:val="000000"/>
        </w:rPr>
        <w:t>Уставный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фонд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собственные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акции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выкупленные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акционеров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-120 “</w:t>
            </w:r>
            <w:r>
              <w:rPr>
                <w:rFonts w:ascii="Arial" w:hAnsi="Arial" w:cs="Arial"/>
                <w:b/>
                <w:bCs/>
                <w:color w:val="000000"/>
              </w:rPr>
              <w:t>Уставный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фонд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собственные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акции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выкупленные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акционеров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</w:t>
            </w:r>
            <w:r>
              <w:rPr>
                <w:rFonts w:ascii="Arial" w:hAnsi="Arial" w:cs="Arial"/>
                <w:b/>
                <w:bCs/>
                <w:color w:val="000000"/>
              </w:rPr>
              <w:t>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выкупленные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</w:t>
            </w:r>
            <w:r>
              <w:rPr>
                <w:rFonts w:ascii="Arial" w:hAnsi="Arial" w:cs="Arial"/>
                <w:color w:val="000000"/>
              </w:rPr>
              <w:t>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относящиеся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выкупленным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</w:t>
            </w:r>
            <w:r>
              <w:rPr>
                <w:rFonts w:ascii="Arial" w:hAnsi="Arial" w:cs="Arial"/>
                <w:color w:val="000000"/>
              </w:rPr>
              <w:t>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статей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выкуплен</w:t>
            </w:r>
            <w:r>
              <w:rPr>
                <w:rFonts w:ascii="Arial" w:hAnsi="Arial" w:cs="Arial"/>
                <w:color w:val="000000"/>
              </w:rPr>
              <w:t>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</w:t>
            </w:r>
            <w:r>
              <w:rPr>
                <w:rFonts w:ascii="Arial" w:hAnsi="Arial" w:cs="Arial"/>
                <w:color w:val="000000"/>
              </w:rPr>
              <w:t>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выкупленные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</w:t>
            </w:r>
            <w:r>
              <w:rPr>
                <w:rFonts w:ascii="Arial" w:hAnsi="Arial" w:cs="Arial"/>
                <w:color w:val="000000"/>
              </w:rPr>
              <w:t>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уставном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акциях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выкупленных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акционеров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2" w:name="349"/>
      <w:bookmarkEnd w:id="102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-121 “</w:t>
      </w:r>
      <w:r>
        <w:rPr>
          <w:rFonts w:ascii="Arial" w:hAnsi="Arial" w:cs="Arial"/>
          <w:b/>
          <w:bCs/>
          <w:color w:val="000000"/>
        </w:rPr>
        <w:t>Резервный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добавочный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фонды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нераспределенная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прибыль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-121 “</w:t>
            </w:r>
            <w:r>
              <w:rPr>
                <w:rFonts w:ascii="Arial" w:hAnsi="Arial" w:cs="Arial"/>
                <w:b/>
                <w:bCs/>
                <w:color w:val="000000"/>
              </w:rPr>
              <w:t>Резервный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добавочный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фонды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нера</w:t>
            </w:r>
            <w:r>
              <w:rPr>
                <w:rFonts w:ascii="Arial" w:hAnsi="Arial" w:cs="Arial"/>
                <w:b/>
                <w:bCs/>
                <w:color w:val="000000"/>
              </w:rPr>
              <w:t>спределенная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прибыль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добавочный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нераспределенная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относящиеся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добавочному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нераспределенной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статей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добавочным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нераспределенной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прибылью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</w:t>
            </w:r>
            <w:r>
              <w:rPr>
                <w:rFonts w:ascii="Arial" w:hAnsi="Arial" w:cs="Arial"/>
                <w:color w:val="000000"/>
              </w:rPr>
              <w:t>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</w:t>
            </w:r>
            <w:r>
              <w:rPr>
                <w:rFonts w:ascii="Arial" w:hAnsi="Arial" w:cs="Arial"/>
                <w:color w:val="000000"/>
              </w:rPr>
              <w:t>бавочный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нераспределенная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</w:t>
            </w:r>
            <w:r>
              <w:rPr>
                <w:rFonts w:ascii="Arial" w:hAnsi="Arial" w:cs="Arial"/>
                <w:color w:val="000000"/>
              </w:rPr>
              <w:t>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добавочном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фондах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нераспре</w:t>
            </w:r>
            <w:r>
              <w:rPr>
                <w:rFonts w:ascii="Arial" w:hAnsi="Arial" w:cs="Arial"/>
                <w:color w:val="000000"/>
              </w:rPr>
              <w:t>деленной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-121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3" w:name="353"/>
      <w:bookmarkEnd w:id="103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-122 “</w:t>
      </w:r>
      <w:r>
        <w:rPr>
          <w:rFonts w:ascii="Arial" w:hAnsi="Arial" w:cs="Arial"/>
          <w:b/>
          <w:bCs/>
          <w:color w:val="000000"/>
        </w:rPr>
        <w:t>Целевое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финансирование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-122 “</w:t>
            </w:r>
            <w:r>
              <w:rPr>
                <w:rFonts w:ascii="Arial" w:hAnsi="Arial" w:cs="Arial"/>
                <w:b/>
                <w:bCs/>
                <w:color w:val="000000"/>
              </w:rPr>
              <w:t>Целевое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финансирование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</w:t>
            </w:r>
            <w:r>
              <w:rPr>
                <w:rFonts w:ascii="Arial" w:hAnsi="Arial" w:cs="Arial"/>
                <w:b/>
                <w:bCs/>
                <w:color w:val="000000"/>
              </w:rPr>
              <w:t>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существует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относящиеся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финансированию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соответствую</w:t>
            </w:r>
            <w:r>
              <w:rPr>
                <w:rFonts w:ascii="Arial" w:hAnsi="Arial" w:cs="Arial"/>
                <w:color w:val="000000"/>
              </w:rPr>
              <w:t>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статей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>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финансированием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</w:t>
            </w:r>
            <w:r>
              <w:rPr>
                <w:rFonts w:ascii="Arial" w:hAnsi="Arial" w:cs="Arial"/>
                <w:color w:val="000000"/>
              </w:rPr>
              <w:t>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</w:t>
            </w:r>
            <w:r>
              <w:rPr>
                <w:rFonts w:ascii="Arial" w:hAnsi="Arial" w:cs="Arial"/>
                <w:color w:val="000000"/>
              </w:rPr>
              <w:t>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</w:t>
            </w:r>
            <w:r>
              <w:rPr>
                <w:rFonts w:ascii="Arial" w:hAnsi="Arial" w:cs="Arial"/>
                <w:color w:val="000000"/>
              </w:rPr>
              <w:t>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целевом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-122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4" w:name="357"/>
      <w:bookmarkEnd w:id="104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-105 “</w:t>
      </w:r>
      <w:r>
        <w:rPr>
          <w:rFonts w:ascii="Arial" w:hAnsi="Arial" w:cs="Arial"/>
          <w:b/>
          <w:bCs/>
          <w:color w:val="000000"/>
        </w:rPr>
        <w:t>Кредиты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займы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-105 “</w:t>
            </w:r>
            <w:r>
              <w:rPr>
                <w:rFonts w:ascii="Arial" w:hAnsi="Arial" w:cs="Arial"/>
                <w:b/>
                <w:bCs/>
                <w:color w:val="000000"/>
              </w:rPr>
              <w:t>Кредиты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займы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займы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оплате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</w:t>
            </w:r>
            <w:r>
              <w:rPr>
                <w:rFonts w:ascii="Arial" w:hAnsi="Arial" w:cs="Arial"/>
                <w:color w:val="000000"/>
              </w:rPr>
              <w:t>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займов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</w:t>
            </w:r>
            <w:r>
              <w:rPr>
                <w:rFonts w:ascii="Arial" w:hAnsi="Arial" w:cs="Arial"/>
                <w:color w:val="000000"/>
              </w:rPr>
              <w:t>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</w:t>
            </w:r>
            <w:r>
              <w:rPr>
                <w:rFonts w:ascii="Arial" w:hAnsi="Arial" w:cs="Arial"/>
                <w:color w:val="000000"/>
              </w:rPr>
              <w:t>аймами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займы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</w:t>
            </w:r>
            <w:r>
              <w:rPr>
                <w:rFonts w:ascii="Arial" w:hAnsi="Arial" w:cs="Arial"/>
                <w:color w:val="000000"/>
              </w:rPr>
              <w:t>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займах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-105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5" w:name="361"/>
      <w:bookmarkEnd w:id="105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-85 “</w:t>
      </w:r>
      <w:r>
        <w:rPr>
          <w:rFonts w:ascii="Arial" w:hAnsi="Arial" w:cs="Arial"/>
          <w:b/>
          <w:bCs/>
          <w:color w:val="000000"/>
        </w:rPr>
        <w:t>Кредиторская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задолженность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-85 “</w:t>
            </w:r>
            <w:r>
              <w:rPr>
                <w:rFonts w:ascii="Arial" w:hAnsi="Arial" w:cs="Arial"/>
                <w:b/>
                <w:bCs/>
                <w:color w:val="000000"/>
              </w:rPr>
              <w:t>Кредиторская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задолженность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большей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оплате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</w:t>
            </w:r>
            <w:r>
              <w:rPr>
                <w:rFonts w:ascii="Arial" w:hAnsi="Arial" w:cs="Arial"/>
                <w:color w:val="000000"/>
              </w:rPr>
              <w:t>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подлежащие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</w:t>
            </w:r>
            <w:r>
              <w:rPr>
                <w:rFonts w:ascii="Arial" w:hAnsi="Arial" w:cs="Arial"/>
                <w:color w:val="000000"/>
              </w:rPr>
              <w:t>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</w:t>
            </w:r>
            <w:r>
              <w:rPr>
                <w:rFonts w:ascii="Arial" w:hAnsi="Arial" w:cs="Arial"/>
                <w:color w:val="000000"/>
              </w:rPr>
              <w:t>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задолженностью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</w:t>
            </w:r>
            <w:r>
              <w:rPr>
                <w:rFonts w:ascii="Arial" w:hAnsi="Arial" w:cs="Arial"/>
                <w:color w:val="000000"/>
              </w:rPr>
              <w:t>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-85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6" w:name="365"/>
      <w:bookmarkEnd w:id="106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-90 “</w:t>
      </w:r>
      <w:r>
        <w:rPr>
          <w:rFonts w:ascii="Arial" w:hAnsi="Arial" w:cs="Arial"/>
          <w:b/>
          <w:bCs/>
          <w:color w:val="000000"/>
        </w:rPr>
        <w:t>Налоги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доходы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прибыль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-90 “</w:t>
            </w:r>
            <w:r>
              <w:rPr>
                <w:rFonts w:ascii="Arial" w:hAnsi="Arial" w:cs="Arial"/>
                <w:b/>
                <w:bCs/>
                <w:color w:val="000000"/>
              </w:rPr>
              <w:t>Нало</w:t>
            </w:r>
            <w:r>
              <w:rPr>
                <w:rFonts w:ascii="Arial" w:hAnsi="Arial" w:cs="Arial"/>
                <w:b/>
                <w:bCs/>
                <w:color w:val="000000"/>
              </w:rPr>
              <w:t>ги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прибыль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</w:t>
            </w:r>
            <w:r>
              <w:rPr>
                <w:rFonts w:ascii="Arial" w:hAnsi="Arial" w:cs="Arial"/>
                <w:color w:val="000000"/>
              </w:rPr>
              <w:t>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существующие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</w:t>
            </w:r>
            <w:r>
              <w:rPr>
                <w:rFonts w:ascii="Arial" w:hAnsi="Arial" w:cs="Arial"/>
                <w:color w:val="000000"/>
              </w:rPr>
              <w:t>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</w:t>
            </w:r>
            <w:r>
              <w:rPr>
                <w:rFonts w:ascii="Arial" w:hAnsi="Arial" w:cs="Arial"/>
                <w:color w:val="000000"/>
              </w:rPr>
              <w:t>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</w:t>
            </w:r>
            <w:r>
              <w:rPr>
                <w:rFonts w:ascii="Arial" w:hAnsi="Arial" w:cs="Arial"/>
                <w:color w:val="000000"/>
              </w:rPr>
              <w:t>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7" w:name="370"/>
      <w:bookmarkEnd w:id="107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-91 “</w:t>
      </w:r>
      <w:r>
        <w:rPr>
          <w:rFonts w:ascii="Arial" w:hAnsi="Arial" w:cs="Arial"/>
          <w:b/>
          <w:bCs/>
          <w:color w:val="000000"/>
        </w:rPr>
        <w:t>Налоги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уплачиваемые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из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выручки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-91 “</w:t>
            </w:r>
            <w:r>
              <w:rPr>
                <w:rFonts w:ascii="Arial" w:hAnsi="Arial" w:cs="Arial"/>
                <w:b/>
                <w:bCs/>
                <w:color w:val="000000"/>
              </w:rPr>
              <w:t>Налоги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уплачиваемые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выручки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</w:t>
            </w:r>
            <w:r>
              <w:rPr>
                <w:rFonts w:ascii="Arial" w:hAnsi="Arial" w:cs="Arial"/>
                <w:b/>
                <w:bCs/>
                <w:color w:val="000000"/>
              </w:rPr>
              <w:t>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уплачиваемые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выручки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</w:t>
            </w:r>
            <w:r>
              <w:rPr>
                <w:rFonts w:ascii="Arial" w:hAnsi="Arial" w:cs="Arial"/>
                <w:color w:val="000000"/>
              </w:rPr>
              <w:t>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</w:t>
            </w:r>
            <w:r>
              <w:rPr>
                <w:rFonts w:ascii="Arial" w:hAnsi="Arial" w:cs="Arial"/>
                <w:color w:val="000000"/>
              </w:rPr>
              <w:t>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уплачиваемых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выручки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</w:t>
            </w:r>
            <w:r>
              <w:rPr>
                <w:rFonts w:ascii="Arial" w:hAnsi="Arial" w:cs="Arial"/>
                <w:color w:val="000000"/>
              </w:rPr>
              <w:t>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уплачиваемые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выручки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существующие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</w:t>
            </w:r>
            <w:r>
              <w:rPr>
                <w:rFonts w:ascii="Arial" w:hAnsi="Arial" w:cs="Arial"/>
                <w:color w:val="000000"/>
              </w:rPr>
              <w:t>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налогами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уплачиваемыми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выручки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</w:t>
            </w:r>
            <w:r>
              <w:rPr>
                <w:rFonts w:ascii="Arial" w:hAnsi="Arial" w:cs="Arial"/>
                <w:color w:val="000000"/>
              </w:rPr>
              <w:t>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</w:t>
            </w:r>
            <w:r>
              <w:rPr>
                <w:rFonts w:ascii="Arial" w:hAnsi="Arial" w:cs="Arial"/>
                <w:color w:val="000000"/>
              </w:rPr>
              <w:t>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уплачиваемые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выручки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</w:t>
            </w:r>
            <w:r>
              <w:rPr>
                <w:rFonts w:ascii="Arial" w:hAnsi="Arial" w:cs="Arial"/>
                <w:color w:val="000000"/>
              </w:rPr>
              <w:t>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</w:t>
            </w:r>
            <w:r>
              <w:rPr>
                <w:rFonts w:ascii="Arial" w:hAnsi="Arial" w:cs="Arial"/>
                <w:color w:val="000000"/>
              </w:rPr>
              <w:t>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налогах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уплачиваемых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выручки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-91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8" w:name="374"/>
      <w:bookmarkEnd w:id="108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-95 “</w:t>
      </w:r>
      <w:r>
        <w:rPr>
          <w:rFonts w:ascii="Arial" w:hAnsi="Arial" w:cs="Arial"/>
          <w:b/>
          <w:bCs/>
          <w:color w:val="000000"/>
        </w:rPr>
        <w:t>НДС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-95 “</w:t>
            </w:r>
            <w:r>
              <w:rPr>
                <w:rFonts w:ascii="Arial" w:hAnsi="Arial" w:cs="Arial"/>
                <w:b/>
                <w:bCs/>
                <w:color w:val="000000"/>
              </w:rPr>
              <w:t>НДС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НДС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существует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</w:t>
            </w:r>
            <w:r>
              <w:rPr>
                <w:rFonts w:ascii="Arial" w:hAnsi="Arial" w:cs="Arial"/>
                <w:color w:val="000000"/>
              </w:rPr>
              <w:t>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весь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НДС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существующий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</w:t>
            </w:r>
            <w:r>
              <w:rPr>
                <w:rFonts w:ascii="Arial" w:hAnsi="Arial" w:cs="Arial"/>
                <w:color w:val="000000"/>
              </w:rPr>
              <w:t>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</w:t>
            </w:r>
            <w:r>
              <w:rPr>
                <w:rFonts w:ascii="Arial" w:hAnsi="Arial" w:cs="Arial"/>
                <w:color w:val="000000"/>
              </w:rPr>
              <w:t>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НДС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</w:t>
            </w:r>
            <w:r>
              <w:rPr>
                <w:rFonts w:ascii="Arial" w:hAnsi="Arial" w:cs="Arial"/>
                <w:color w:val="000000"/>
              </w:rPr>
              <w:t>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НДС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</w:t>
            </w:r>
            <w:r>
              <w:rPr>
                <w:rFonts w:ascii="Arial" w:hAnsi="Arial" w:cs="Arial"/>
                <w:color w:val="000000"/>
              </w:rPr>
              <w:t>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-95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09" w:name="378"/>
      <w:bookmarkEnd w:id="109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-131 “</w:t>
      </w:r>
      <w:r>
        <w:rPr>
          <w:rFonts w:ascii="Arial" w:hAnsi="Arial" w:cs="Arial"/>
          <w:b/>
          <w:bCs/>
          <w:color w:val="000000"/>
        </w:rPr>
        <w:t>Доходы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будущих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периодов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-131 “</w:t>
            </w:r>
            <w:r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будущих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периодов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</w:t>
            </w:r>
            <w:r>
              <w:rPr>
                <w:rFonts w:ascii="Arial" w:hAnsi="Arial" w:cs="Arial"/>
                <w:color w:val="000000"/>
              </w:rPr>
              <w:t>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</w:t>
            </w:r>
            <w:r>
              <w:rPr>
                <w:rFonts w:ascii="Arial" w:hAnsi="Arial" w:cs="Arial"/>
                <w:color w:val="000000"/>
              </w:rPr>
              <w:t>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</w:t>
            </w:r>
            <w:r>
              <w:rPr>
                <w:rFonts w:ascii="Arial" w:hAnsi="Arial" w:cs="Arial"/>
                <w:color w:val="000000"/>
              </w:rPr>
              <w:t>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инвентаризации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данному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разделу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составлением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-131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0" w:name="382"/>
      <w:bookmarkEnd w:id="110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-141 “</w:t>
      </w:r>
      <w:r>
        <w:rPr>
          <w:rFonts w:ascii="Arial" w:hAnsi="Arial" w:cs="Arial"/>
          <w:b/>
          <w:bCs/>
          <w:color w:val="000000"/>
        </w:rPr>
        <w:t>Резервы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предстоящих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платежей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расходы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будущих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периодов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551"/>
        <w:gridCol w:w="4025"/>
        <w:gridCol w:w="1644"/>
        <w:gridCol w:w="1587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-141 “</w:t>
            </w:r>
            <w:r>
              <w:rPr>
                <w:rFonts w:ascii="Arial" w:hAnsi="Arial" w:cs="Arial"/>
                <w:b/>
                <w:bCs/>
                <w:color w:val="000000"/>
              </w:rPr>
              <w:t>Резервы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предстоящих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платежей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будущих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ериодов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озникновение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</w:t>
            </w:r>
            <w:r>
              <w:rPr>
                <w:rFonts w:ascii="Arial" w:hAnsi="Arial" w:cs="Arial"/>
                <w:color w:val="000000"/>
              </w:rPr>
              <w:t>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</w:t>
            </w:r>
            <w:r>
              <w:rPr>
                <w:rFonts w:ascii="Arial" w:hAnsi="Arial" w:cs="Arial"/>
                <w:color w:val="000000"/>
              </w:rPr>
              <w:t>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</w:t>
            </w:r>
            <w:r>
              <w:rPr>
                <w:rFonts w:ascii="Arial" w:hAnsi="Arial" w:cs="Arial"/>
                <w:color w:val="000000"/>
              </w:rPr>
              <w:t>есчет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будущих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резервах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предстоящих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платежей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-141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1" w:name="429"/>
      <w:bookmarkEnd w:id="111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-115 “</w:t>
      </w:r>
      <w:r>
        <w:rPr>
          <w:rFonts w:ascii="Arial" w:hAnsi="Arial" w:cs="Arial"/>
          <w:b/>
          <w:bCs/>
          <w:color w:val="000000"/>
        </w:rPr>
        <w:t>Оценочные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обязательства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4138"/>
        <w:gridCol w:w="1587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-115 “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Оценочные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обязательства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</w:t>
            </w:r>
            <w:r>
              <w:rPr>
                <w:rFonts w:ascii="Arial" w:hAnsi="Arial" w:cs="Arial"/>
                <w:b/>
                <w:bCs/>
                <w:color w:val="000000"/>
              </w:rPr>
              <w:t>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Существование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</w:t>
            </w:r>
            <w:r>
              <w:rPr>
                <w:rFonts w:ascii="Arial" w:hAnsi="Arial" w:cs="Arial"/>
                <w:color w:val="000000"/>
              </w:rPr>
              <w:t>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оценочным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Инвентаризация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дату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существуют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полностью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Инвентаризация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обязанности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Сформированные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имеют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организации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Инвентаризация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распределение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Оценочные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сформированы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надл</w:t>
            </w:r>
            <w:r>
              <w:rPr>
                <w:rFonts w:ascii="Arial" w:hAnsi="Arial" w:cs="Arial"/>
                <w:color w:val="000000"/>
              </w:rPr>
              <w:t>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сумме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процедура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согласования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обязательств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-115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2" w:name="388"/>
      <w:bookmarkEnd w:id="112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-130 “</w:t>
      </w:r>
      <w:r>
        <w:rPr>
          <w:rFonts w:ascii="Arial" w:hAnsi="Arial" w:cs="Arial"/>
          <w:b/>
          <w:bCs/>
          <w:color w:val="000000"/>
        </w:rPr>
        <w:t>Выручка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реализации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3741"/>
        <w:gridCol w:w="2040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-130 “</w:t>
            </w:r>
            <w:r>
              <w:rPr>
                <w:rFonts w:ascii="Arial" w:hAnsi="Arial" w:cs="Arial"/>
                <w:b/>
                <w:bCs/>
                <w:color w:val="000000"/>
              </w:rPr>
              <w:t>Выручка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реализации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</w:t>
            </w:r>
            <w:r>
              <w:rPr>
                <w:rFonts w:ascii="Arial" w:hAnsi="Arial" w:cs="Arial"/>
                <w:b/>
                <w:bCs/>
                <w:color w:val="000000"/>
              </w:rPr>
              <w:t>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Выручка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признана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отсутствуют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реестр</w:t>
            </w:r>
            <w:r>
              <w:rPr>
                <w:rFonts w:ascii="Arial" w:hAnsi="Arial" w:cs="Arial"/>
                <w:color w:val="000000"/>
              </w:rPr>
              <w:t>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заключенных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бухгалтерии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получение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оплаты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Выручка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полном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объеме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Ежемесячная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реестров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заключенных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договоров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начислений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произведенных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бухгалтерией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Своевременность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Выручка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преждевременно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раннем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следовало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Автоматический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ввода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Выручка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некорректной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Автоматический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ввода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продажам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правильности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валют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Выручка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начислений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Интегр</w:t>
            </w:r>
            <w:r>
              <w:rPr>
                <w:rFonts w:ascii="Arial" w:hAnsi="Arial" w:cs="Arial"/>
                <w:color w:val="000000"/>
              </w:rPr>
              <w:t>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базы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отдела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-130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3" w:name="392"/>
      <w:bookmarkEnd w:id="113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-140 “</w:t>
      </w:r>
      <w:r>
        <w:rPr>
          <w:rFonts w:ascii="Arial" w:hAnsi="Arial" w:cs="Arial"/>
          <w:b/>
          <w:bCs/>
          <w:color w:val="000000"/>
        </w:rPr>
        <w:t>Себестоимость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продукции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включая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НЗП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3741"/>
        <w:gridCol w:w="2040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-140 “</w:t>
            </w:r>
            <w:r>
              <w:rPr>
                <w:rFonts w:ascii="Arial" w:hAnsi="Arial" w:cs="Arial"/>
                <w:b/>
                <w:bCs/>
                <w:color w:val="000000"/>
              </w:rPr>
              <w:t>Себестоимость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продукции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включая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НЗП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</w:t>
            </w:r>
            <w:r>
              <w:rPr>
                <w:rFonts w:ascii="Arial" w:hAnsi="Arial" w:cs="Arial"/>
                <w:b/>
                <w:bCs/>
                <w:color w:val="000000"/>
              </w:rPr>
              <w:t>осылкой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себесто</w:t>
            </w:r>
            <w:r>
              <w:rPr>
                <w:rFonts w:ascii="Arial" w:hAnsi="Arial" w:cs="Arial"/>
                <w:color w:val="000000"/>
              </w:rPr>
              <w:t>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НЗП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относится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себестоимость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НЗП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относи</w:t>
            </w:r>
            <w:r>
              <w:rPr>
                <w:rFonts w:ascii="Arial" w:hAnsi="Arial" w:cs="Arial"/>
                <w:color w:val="000000"/>
              </w:rPr>
              <w:t>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себестоимостью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НЗП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</w:t>
            </w:r>
            <w:r>
              <w:rPr>
                <w:rFonts w:ascii="Arial" w:hAnsi="Arial" w:cs="Arial"/>
                <w:color w:val="000000"/>
              </w:rPr>
              <w:t>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себестоимость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НЗП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</w:t>
            </w:r>
            <w:r>
              <w:rPr>
                <w:rFonts w:ascii="Arial" w:hAnsi="Arial" w:cs="Arial"/>
                <w:color w:val="000000"/>
              </w:rPr>
              <w:t>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себестоимости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включая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НЗП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-140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4" w:name="439"/>
      <w:bookmarkEnd w:id="114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-150 “</w:t>
      </w:r>
      <w:r>
        <w:rPr>
          <w:rFonts w:ascii="Arial" w:hAnsi="Arial" w:cs="Arial"/>
          <w:b/>
          <w:bCs/>
          <w:color w:val="000000"/>
        </w:rPr>
        <w:t>Доходы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</w:t>
      </w:r>
      <w:r>
        <w:rPr>
          <w:rFonts w:ascii="Arial" w:hAnsi="Arial" w:cs="Arial"/>
          <w:b/>
          <w:bCs/>
          <w:color w:val="000000"/>
        </w:rPr>
        <w:t>вестиционной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3741"/>
        <w:gridCol w:w="2040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-150 “</w:t>
            </w:r>
            <w:r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инвестиционной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>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доходами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5" w:name="441"/>
      <w:bookmarkEnd w:id="115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-151 “</w:t>
      </w:r>
      <w:r>
        <w:rPr>
          <w:rFonts w:ascii="Arial" w:hAnsi="Arial" w:cs="Arial"/>
          <w:b/>
          <w:bCs/>
          <w:color w:val="000000"/>
        </w:rPr>
        <w:t>Инвестиционные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расходы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3741"/>
        <w:gridCol w:w="2040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-151 “</w:t>
            </w:r>
            <w:r>
              <w:rPr>
                <w:rFonts w:ascii="Arial" w:hAnsi="Arial" w:cs="Arial"/>
                <w:b/>
                <w:bCs/>
                <w:color w:val="000000"/>
              </w:rPr>
              <w:t>Инвестиционные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</w:t>
            </w:r>
            <w:r>
              <w:rPr>
                <w:rFonts w:ascii="Arial" w:hAnsi="Arial" w:cs="Arial"/>
                <w:color w:val="000000"/>
              </w:rPr>
              <w:t>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расходами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</w:t>
            </w:r>
            <w:r>
              <w:rPr>
                <w:rFonts w:ascii="Arial" w:hAnsi="Arial" w:cs="Arial"/>
                <w:color w:val="000000"/>
              </w:rPr>
              <w:t>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</w:t>
            </w:r>
            <w:r>
              <w:rPr>
                <w:rFonts w:ascii="Arial" w:hAnsi="Arial" w:cs="Arial"/>
                <w:color w:val="000000"/>
              </w:rPr>
              <w:t>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инвестиционных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расходах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</w:t>
            </w:r>
            <w:r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-151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6" w:name="444"/>
      <w:bookmarkEnd w:id="116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-160 “</w:t>
      </w:r>
      <w:r>
        <w:rPr>
          <w:rFonts w:ascii="Arial" w:hAnsi="Arial" w:cs="Arial"/>
          <w:b/>
          <w:bCs/>
          <w:color w:val="000000"/>
        </w:rPr>
        <w:t>Доходы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3741"/>
        <w:gridCol w:w="2040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-160 “</w:t>
            </w:r>
            <w:r>
              <w:rPr>
                <w:rFonts w:ascii="Arial" w:hAnsi="Arial" w:cs="Arial"/>
                <w:b/>
                <w:bCs/>
                <w:color w:val="00000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</w:t>
            </w:r>
            <w:r>
              <w:rPr>
                <w:rFonts w:ascii="Arial" w:hAnsi="Arial" w:cs="Arial"/>
                <w:color w:val="000000"/>
              </w:rPr>
              <w:t>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</w:t>
            </w:r>
            <w:r>
              <w:rPr>
                <w:rFonts w:ascii="Arial" w:hAnsi="Arial" w:cs="Arial"/>
                <w:color w:val="000000"/>
              </w:rPr>
              <w:t>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доходах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</w:t>
            </w:r>
            <w:r>
              <w:rPr>
                <w:rFonts w:ascii="Arial" w:hAnsi="Arial" w:cs="Arial"/>
                <w:color w:val="000000"/>
              </w:rPr>
              <w:t>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-160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7" w:name="408"/>
      <w:bookmarkEnd w:id="117"/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-161 “</w:t>
      </w:r>
      <w:r>
        <w:rPr>
          <w:rFonts w:ascii="Arial" w:hAnsi="Arial" w:cs="Arial"/>
          <w:b/>
          <w:bCs/>
          <w:color w:val="000000"/>
        </w:rPr>
        <w:t>Расходы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финансовой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>”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2494"/>
        <w:gridCol w:w="3741"/>
        <w:gridCol w:w="2040"/>
        <w:gridCol w:w="1530"/>
        <w:gridCol w:w="11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-161 “</w:t>
            </w:r>
            <w:r>
              <w:rPr>
                <w:rFonts w:ascii="Arial" w:hAnsi="Arial" w:cs="Arial"/>
                <w:b/>
                <w:bCs/>
                <w:color w:val="00000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финансовой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</w:t>
            </w:r>
            <w:r>
              <w:rPr>
                <w:rFonts w:ascii="Arial" w:hAnsi="Arial" w:cs="Arial"/>
                <w:b/>
                <w:bCs/>
                <w:color w:val="000000"/>
              </w:rPr>
              <w:t>дпосылок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связанный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предпосылкой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Связанные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выявленными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рисками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средства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контроля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Комбинированная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оценка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РСИ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Значительный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>да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>нет</w:t>
            </w:r>
            <w:r>
              <w:rPr>
                <w:rFonts w:ascii="Arial" w:hAnsi="Arial" w:cs="Arial"/>
                <w:b/>
                <w:bCs/>
                <w:color w:val="000000"/>
              </w:rPr>
              <w:t>).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Внесите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изменения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план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Ссылки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рабочий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документ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Возникновение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) /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Права</w:t>
            </w:r>
            <w:r>
              <w:rPr>
                <w:rFonts w:ascii="Arial" w:hAnsi="Arial" w:cs="Arial"/>
                <w:color w:val="000000"/>
              </w:rPr>
              <w:t xml:space="preserve"> (R)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относятся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имеет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достаточных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оснований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Визирование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уполномоченными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счетов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других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Полнота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возникшие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</w:t>
            </w:r>
            <w:r>
              <w:rPr>
                <w:rFonts w:ascii="Arial" w:hAnsi="Arial" w:cs="Arial"/>
                <w:color w:val="000000"/>
              </w:rPr>
              <w:t>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Закрытие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Точность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образом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несоответствующем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периоде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другие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анные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имеющие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событиям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первичной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документации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аналитического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синтетического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оперативного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учета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Пересчет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оценка</w:t>
            </w:r>
            <w:r>
              <w:rPr>
                <w:rFonts w:ascii="Arial" w:hAnsi="Arial" w:cs="Arial"/>
                <w:color w:val="000000"/>
              </w:rPr>
              <w:t xml:space="preserve"> (V)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того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ненадлежащей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</w:t>
            </w:r>
            <w:r>
              <w:rPr>
                <w:rFonts w:ascii="Arial" w:hAnsi="Arial" w:cs="Arial"/>
                <w:color w:val="000000"/>
              </w:rPr>
              <w:t>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корректировки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вытекающие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оценки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классификации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отражены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неправильно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данными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полученными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третьих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Арифметическая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проверка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Классификация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понятность</w:t>
            </w:r>
            <w:r>
              <w:rPr>
                <w:rFonts w:ascii="Arial" w:hAnsi="Arial" w:cs="Arial"/>
                <w:color w:val="000000"/>
              </w:rPr>
              <w:t xml:space="preserve"> (U)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Существует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неполного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ненадлежащего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расходах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необходимой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соответствии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законодательством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взаимоувязки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бухгалтерской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-161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4308"/>
        <w:gridCol w:w="4138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4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Подпись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Подготовил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Проверил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8" w:name="447"/>
      <w:bookmarkEnd w:id="118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color w:val="000000"/>
        </w:rPr>
      </w:pPr>
      <w:bookmarkStart w:id="119" w:name="315"/>
      <w:bookmarkEnd w:id="119"/>
      <w:r>
        <w:rPr>
          <w:rFonts w:ascii="Arial" w:hAnsi="Arial" w:cs="Arial"/>
          <w:b/>
          <w:bCs/>
          <w:color w:val="000000"/>
        </w:rPr>
        <w:t>См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данную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форму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MS-Word.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0" w:name="245"/>
      <w:bookmarkEnd w:id="12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21" w:name="215"/>
      <w:bookmarkEnd w:id="121"/>
      <w:r>
        <w:rPr>
          <w:rFonts w:ascii="Arial" w:hAnsi="Arial" w:cs="Arial"/>
          <w:b/>
          <w:bCs/>
          <w:color w:val="000000"/>
        </w:rPr>
        <w:t>Риск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необнаружения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22" w:name="237"/>
      <w:bookmarkEnd w:id="122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3" w:name="59"/>
      <w:bookmarkEnd w:id="123"/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заключающийся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</w:t>
      </w:r>
      <w:r>
        <w:rPr>
          <w:rFonts w:ascii="Arial" w:hAnsi="Arial" w:cs="Arial"/>
          <w:color w:val="000000"/>
        </w:rPr>
        <w:t>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приемлемо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совокупности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искажениями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>. (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13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200).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4" w:name="60"/>
      <w:bookmarkEnd w:id="124"/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5" w:name="61"/>
      <w:bookmarkEnd w:id="12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первый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следствие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нехватка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накопленных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опыта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6" w:name="62"/>
      <w:bookmarkEnd w:id="12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клиент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устанавливать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непосредственным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поспешному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ост</w:t>
      </w:r>
      <w:r>
        <w:rPr>
          <w:rFonts w:ascii="Arial" w:hAnsi="Arial" w:cs="Arial"/>
          <w:color w:val="000000"/>
        </w:rPr>
        <w:t>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незамеченными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7" w:name="63"/>
      <w:bookmarkEnd w:id="12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клиент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посетить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участок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проблемой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запасы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площадках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посещенных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8" w:name="196"/>
      <w:bookmarkEnd w:id="128"/>
      <w:r>
        <w:rPr>
          <w:rFonts w:ascii="Arial" w:hAnsi="Arial" w:cs="Arial"/>
          <w:color w:val="000000"/>
        </w:rPr>
        <w:t>Известно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16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520). </w:t>
      </w:r>
      <w:r>
        <w:rPr>
          <w:rFonts w:ascii="Arial" w:hAnsi="Arial" w:cs="Arial"/>
          <w:color w:val="000000"/>
        </w:rPr>
        <w:t>Уменьшение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обусловлено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различных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искажений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события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независимые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Очевидно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независимых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событий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меньше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вероятность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одновременного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появления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9" w:name="197"/>
      <w:bookmarkEnd w:id="129"/>
      <w:r>
        <w:rPr>
          <w:rFonts w:ascii="Arial" w:hAnsi="Arial" w:cs="Arial"/>
          <w:color w:val="000000"/>
        </w:rPr>
        <w:t>Дополнительные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противодействию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осуществляются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включать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0" w:name="198"/>
      <w:bookmarkEnd w:id="130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привлечение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аудиторов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1" w:name="199"/>
      <w:bookmarkEnd w:id="131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привлечение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экспертов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2" w:name="200"/>
      <w:bookmarkEnd w:id="13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увеличение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непредсказуемости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</w:t>
      </w:r>
      <w:r>
        <w:rPr>
          <w:rFonts w:ascii="Arial" w:hAnsi="Arial" w:cs="Arial"/>
          <w:color w:val="000000"/>
        </w:rPr>
        <w:t>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3" w:name="201"/>
      <w:bookmarkEnd w:id="13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тщательного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членами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команды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4" w:name="202"/>
      <w:bookmarkEnd w:id="13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целом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5" w:name="203"/>
      <w:bookmarkEnd w:id="135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сальдо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раскрытий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6" w:name="204"/>
      <w:bookmarkEnd w:id="136"/>
      <w:r>
        <w:rPr>
          <w:rFonts w:ascii="Arial" w:hAnsi="Arial" w:cs="Arial"/>
          <w:color w:val="000000"/>
        </w:rPr>
        <w:t>Снижение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выбором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7" w:name="205"/>
      <w:bookmarkEnd w:id="13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инвентаризации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просмотра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документов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>запросы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источникам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надежность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8" w:name="206"/>
      <w:bookmarkEnd w:id="13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сроков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ближе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поэтому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какого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года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9" w:name="207"/>
      <w:bookmarkEnd w:id="13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объема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Увеличение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следовательно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выборки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0" w:name="208"/>
      <w:bookmarkEnd w:id="140"/>
      <w:r>
        <w:rPr>
          <w:rFonts w:ascii="Arial" w:hAnsi="Arial" w:cs="Arial"/>
          <w:color w:val="000000"/>
        </w:rPr>
        <w:t>Очевидно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</w:t>
      </w:r>
      <w:r>
        <w:rPr>
          <w:rFonts w:ascii="Arial" w:hAnsi="Arial" w:cs="Arial"/>
          <w:color w:val="000000"/>
        </w:rPr>
        <w:t>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необнаружения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соответственно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приемлемо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разумное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подтверждение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1" w:name="209"/>
      <w:bookmarkEnd w:id="141"/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мероприятий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суждению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приемлемо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низкий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обеспечить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доказательств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модифицировать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оговоркой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</w:t>
      </w:r>
      <w:r>
        <w:rPr>
          <w:rFonts w:ascii="Arial" w:hAnsi="Arial" w:cs="Arial"/>
          <w:color w:val="000000"/>
        </w:rPr>
        <w:t>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27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330).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2" w:name="64"/>
      <w:bookmarkEnd w:id="142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43" w:name="65"/>
      <w:bookmarkEnd w:id="143"/>
      <w:r>
        <w:rPr>
          <w:rFonts w:ascii="Arial" w:hAnsi="Arial" w:cs="Arial"/>
          <w:b/>
          <w:bCs/>
          <w:color w:val="000000"/>
        </w:rPr>
        <w:t>Бизнес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риск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4" w:name="238"/>
      <w:bookmarkEnd w:id="144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5" w:name="66"/>
      <w:bookmarkEnd w:id="145"/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событий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обстоятельств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действий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негативное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достичь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реализовать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свою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стратегию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возникающий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ненадлежащих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стратегии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подп</w:t>
      </w:r>
      <w:r>
        <w:rPr>
          <w:rFonts w:ascii="Arial" w:hAnsi="Arial" w:cs="Arial"/>
          <w:color w:val="000000"/>
        </w:rPr>
        <w:t xml:space="preserve">. (b)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315).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6" w:name="67"/>
      <w:bookmarkEnd w:id="146"/>
      <w:r>
        <w:rPr>
          <w:rFonts w:ascii="Arial" w:hAnsi="Arial" w:cs="Arial"/>
          <w:color w:val="000000"/>
        </w:rPr>
        <w:t>Понимание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сталкивается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повышает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вероятность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</w:t>
      </w:r>
      <w:r>
        <w:rPr>
          <w:rFonts w:ascii="Arial" w:hAnsi="Arial" w:cs="Arial"/>
          <w:color w:val="000000"/>
        </w:rPr>
        <w:t>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поскольку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большинство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конечном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окажут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влияние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Однако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оценивать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потому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</w:t>
      </w:r>
      <w:r>
        <w:rPr>
          <w:rFonts w:ascii="Arial" w:hAnsi="Arial" w:cs="Arial"/>
          <w:color w:val="000000"/>
        </w:rPr>
        <w:t>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приводят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искажения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39 </w:t>
      </w:r>
      <w:r>
        <w:rPr>
          <w:rFonts w:ascii="Arial" w:hAnsi="Arial" w:cs="Arial"/>
          <w:color w:val="000000"/>
        </w:rPr>
        <w:t>МСА</w:t>
      </w:r>
      <w:r>
        <w:rPr>
          <w:rFonts w:ascii="Arial" w:hAnsi="Arial" w:cs="Arial"/>
          <w:color w:val="000000"/>
        </w:rPr>
        <w:t xml:space="preserve"> 315).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7" w:name="68"/>
      <w:bookmarkEnd w:id="147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2"/>
        <w:gridCol w:w="71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Примеры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бизнес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</w:rPr>
              <w:t>Внешние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внешней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средой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которой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  <w:r>
              <w:rPr>
                <w:rFonts w:ascii="Arial" w:hAnsi="Arial" w:cs="Arial"/>
                <w:b/>
                <w:bCs/>
                <w:color w:val="000000"/>
              </w:rPr>
              <w:t>Внутренние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риски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связанные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</w:t>
            </w:r>
            <w:r>
              <w:rPr>
                <w:rFonts w:ascii="Arial" w:hAnsi="Arial" w:cs="Arial"/>
                <w:color w:val="000000"/>
              </w:rPr>
              <w:t>иятием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законодательства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Сотрудники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процентной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ставки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Неспособность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модернизировать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продукты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процессы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трудовые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маркетинг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курсов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валют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Сверхпродажи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Общественное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мнение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отношение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Трудности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ден</w:t>
            </w:r>
            <w:r>
              <w:rPr>
                <w:rFonts w:ascii="Arial" w:hAnsi="Arial" w:cs="Arial"/>
                <w:color w:val="000000"/>
              </w:rPr>
              <w:t>ежным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потоком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войны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инициированные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конкурентами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Ухудшение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показателей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платежеспособности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Неопробованные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технологии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политические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факторы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Чрезмерная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зависимость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доминирующего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гендиректора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Стихийные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бедствия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Мошенничеств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недобросовестные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Чрезмерная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зависимость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нескольких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клиентов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поставщиков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систем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48" w:name="70"/>
      <w:bookmarkEnd w:id="148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49" w:name="71"/>
      <w:bookmarkEnd w:id="149"/>
      <w:r>
        <w:rPr>
          <w:rFonts w:ascii="Arial" w:hAnsi="Arial" w:cs="Arial"/>
          <w:b/>
          <w:bCs/>
          <w:color w:val="000000"/>
        </w:rPr>
        <w:t>Связь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между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бизнес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риском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аудиторским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риском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0" w:name="239"/>
      <w:bookmarkEnd w:id="15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1" w:name="72"/>
      <w:bookmarkEnd w:id="151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совершенно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связаны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2" w:name="73"/>
      <w:bookmarkEnd w:id="15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бизнеса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3" w:name="74"/>
      <w:bookmarkEnd w:id="15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ориентирован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</w:t>
      </w:r>
      <w:r>
        <w:rPr>
          <w:rFonts w:ascii="Arial" w:hAnsi="Arial" w:cs="Arial"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4" w:name="75"/>
      <w:bookmarkEnd w:id="15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аудитора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5" w:name="76"/>
      <w:bookmarkEnd w:id="155"/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</w:t>
      </w:r>
      <w:r>
        <w:rPr>
          <w:rFonts w:ascii="Arial" w:hAnsi="Arial" w:cs="Arial"/>
          <w:color w:val="000000"/>
        </w:rPr>
        <w:t>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связаны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базовом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приводит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эффекту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Связи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увидеть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неотъемлемых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аспектах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граничиваются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относящимися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неотъемлемыми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компания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значительной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дебиторской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</w:t>
      </w:r>
      <w:r>
        <w:rPr>
          <w:rFonts w:ascii="Arial" w:hAnsi="Arial" w:cs="Arial"/>
          <w:color w:val="000000"/>
        </w:rPr>
        <w:t>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возникает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дебиторская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задолженность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завышена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нереальные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погашению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долги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6" w:name="77"/>
      <w:bookmarkEnd w:id="156"/>
      <w:r>
        <w:rPr>
          <w:rFonts w:ascii="Arial" w:hAnsi="Arial" w:cs="Arial"/>
          <w:color w:val="000000"/>
        </w:rPr>
        <w:t>Аналогично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контрольный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внедряет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</w:t>
      </w:r>
      <w:r>
        <w:rPr>
          <w:rFonts w:ascii="Arial" w:hAnsi="Arial" w:cs="Arial"/>
          <w:color w:val="000000"/>
        </w:rPr>
        <w:t>утреннего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смягчение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7" w:name="78"/>
      <w:bookmarkEnd w:id="157"/>
      <w:r>
        <w:rPr>
          <w:rFonts w:ascii="Arial" w:hAnsi="Arial" w:cs="Arial"/>
          <w:color w:val="000000"/>
        </w:rPr>
        <w:t>Следовательно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несмотря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сфокусирован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ри</w:t>
      </w:r>
      <w:r>
        <w:rPr>
          <w:rFonts w:ascii="Arial" w:hAnsi="Arial" w:cs="Arial"/>
          <w:color w:val="000000"/>
        </w:rPr>
        <w:t>ск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действительно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неотъемлемого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отчетностью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последнюю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очередь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материализуются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повлиять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принцип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непрерывности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финансовой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отчетности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58" w:name="79"/>
      <w:bookmarkEnd w:id="158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59" w:name="80"/>
      <w:bookmarkEnd w:id="159"/>
      <w:r>
        <w:rPr>
          <w:rFonts w:ascii="Arial" w:hAnsi="Arial" w:cs="Arial"/>
          <w:b/>
          <w:bCs/>
          <w:color w:val="000000"/>
        </w:rPr>
        <w:t>Бизнес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риски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современны</w:t>
      </w:r>
      <w:r>
        <w:rPr>
          <w:rFonts w:ascii="Arial" w:hAnsi="Arial" w:cs="Arial"/>
          <w:b/>
          <w:bCs/>
          <w:color w:val="000000"/>
        </w:rPr>
        <w:t>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тенденций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информационных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технологиях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60" w:name="240"/>
      <w:bookmarkEnd w:id="160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1" w:name="81"/>
      <w:bookmarkEnd w:id="161"/>
      <w:r>
        <w:rPr>
          <w:rFonts w:ascii="Arial" w:hAnsi="Arial" w:cs="Arial"/>
          <w:color w:val="000000"/>
        </w:rPr>
        <w:t>Расширение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подключения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открытости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компьютерных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глобальной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среде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подвергает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бизнес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кибератакам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Аудиторы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применяемые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обнаружения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устранения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рисков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Вот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Arial" w:hAnsi="Arial" w:cs="Arial"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2" w:name="82"/>
      <w:bookmarkEnd w:id="162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Руководство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установило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политику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интернет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3" w:name="83"/>
      <w:bookmarkEnd w:id="163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организация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идентифицирует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информационные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риски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активов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4" w:name="84"/>
      <w:bookmarkEnd w:id="164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Есть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киберстрахование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5" w:name="85"/>
      <w:bookmarkEnd w:id="165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Существует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внешним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например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поставщиков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клиентов</w:t>
      </w:r>
      <w:r>
        <w:rPr>
          <w:rFonts w:ascii="Arial" w:hAnsi="Arial" w:cs="Arial"/>
          <w:color w:val="000000"/>
        </w:rPr>
        <w:t>))?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6" w:name="86"/>
      <w:bookmarkEnd w:id="166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файлам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7" w:name="87"/>
      <w:bookmarkEnd w:id="167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Проводятся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регулярные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сканирования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злокачественной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8" w:name="88"/>
      <w:bookmarkEnd w:id="168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Существуют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гарантирующие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поставлена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угрозу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доступе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омпании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дороге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9" w:name="89"/>
      <w:bookmarkEnd w:id="169"/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Какие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восстановления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инцидента</w:t>
      </w:r>
      <w:r>
        <w:rPr>
          <w:rFonts w:ascii="Arial" w:hAnsi="Arial" w:cs="Arial"/>
          <w:color w:val="000000"/>
        </w:rPr>
        <w:t>?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70" w:name="90"/>
      <w:bookmarkEnd w:id="170"/>
      <w:r>
        <w:rPr>
          <w:rFonts w:ascii="Arial" w:hAnsi="Arial" w:cs="Arial"/>
          <w:color w:val="000000"/>
        </w:rPr>
        <w:t>Эти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включены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предприятия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повлиять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аудиторов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уществуют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какие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неопределенности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непрерывности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клиента</w:t>
      </w:r>
      <w:r>
        <w:rPr>
          <w:rFonts w:ascii="Arial" w:hAnsi="Arial" w:cs="Arial"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71" w:name="210"/>
      <w:bookmarkEnd w:id="171"/>
      <w:r>
        <w:rPr>
          <w:rFonts w:ascii="Arial" w:hAnsi="Arial" w:cs="Arial"/>
          <w:color w:val="000000"/>
        </w:rPr>
        <w:t> </w:t>
      </w:r>
    </w:p>
    <w:p w:rsidR="00000000" w:rsidRDefault="00F866D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72" w:name="211"/>
      <w:bookmarkEnd w:id="172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82880" cy="18288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0D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420D0">
        <w:rPr>
          <w:rFonts w:ascii="Arial" w:hAnsi="Arial" w:cs="Arial"/>
          <w:b/>
          <w:bCs/>
          <w:i/>
          <w:iCs/>
          <w:color w:val="000000"/>
        </w:rPr>
        <w:t>Справочно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3" w:name="92"/>
      <w:bookmarkEnd w:id="173"/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случае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если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предприятие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занимается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электронной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торговлей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через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интернет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идентификация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рисков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имеет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решающее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значение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Ряд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серьезных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нарушений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безопасности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отношении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электронной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интернет</w:t>
      </w:r>
      <w:r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>торговли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подчеркнул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что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это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область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которая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несет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значительные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операционные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которые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должны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обратить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серьезное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внимание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4" w:name="93"/>
      <w:bookmarkEnd w:id="174"/>
      <w:r>
        <w:rPr>
          <w:rFonts w:ascii="Arial" w:hAnsi="Arial" w:cs="Arial"/>
          <w:i/>
          <w:iCs/>
          <w:color w:val="000000"/>
        </w:rPr>
        <w:t>Специфические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включают</w:t>
      </w:r>
      <w:r>
        <w:rPr>
          <w:rFonts w:ascii="Arial" w:hAnsi="Arial" w:cs="Arial"/>
          <w:i/>
          <w:iCs/>
          <w:color w:val="000000"/>
        </w:rPr>
        <w:t>: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5" w:name="94"/>
      <w:bookmarkEnd w:id="175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потери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целостности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операций</w:t>
      </w:r>
      <w:r>
        <w:rPr>
          <w:rFonts w:ascii="Arial" w:hAnsi="Arial" w:cs="Arial"/>
          <w:i/>
          <w:iCs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6" w:name="95"/>
      <w:bookmarkEnd w:id="176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распространенные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риски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безопасности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электронной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торговли</w:t>
      </w:r>
      <w:r>
        <w:rPr>
          <w:rFonts w:ascii="Arial" w:hAnsi="Arial" w:cs="Arial"/>
          <w:i/>
          <w:iCs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7" w:name="96"/>
      <w:bookmarkEnd w:id="177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неверная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учетную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политику</w:t>
      </w:r>
      <w:r>
        <w:rPr>
          <w:rFonts w:ascii="Arial" w:hAnsi="Arial" w:cs="Arial"/>
          <w:i/>
          <w:iCs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8" w:name="97"/>
      <w:bookmarkEnd w:id="178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несоблюдение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налоговых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правовых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нормативных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требований</w:t>
      </w:r>
      <w:r>
        <w:rPr>
          <w:rFonts w:ascii="Arial" w:hAnsi="Arial" w:cs="Arial"/>
          <w:i/>
          <w:iCs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79" w:name="98"/>
      <w:bookmarkEnd w:id="179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чрезмерное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доверие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интернет</w:t>
      </w:r>
      <w:r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>торговле</w:t>
      </w:r>
      <w:r>
        <w:rPr>
          <w:rFonts w:ascii="Arial" w:hAnsi="Arial" w:cs="Arial"/>
          <w:i/>
          <w:iCs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80" w:name="99"/>
      <w:bookmarkEnd w:id="180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сбои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систем</w:t>
      </w:r>
      <w:r>
        <w:rPr>
          <w:rFonts w:ascii="Arial" w:hAnsi="Arial" w:cs="Arial"/>
          <w:i/>
          <w:iCs/>
          <w:color w:val="000000"/>
        </w:rPr>
        <w:t>;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81" w:name="100"/>
      <w:bookmarkEnd w:id="181"/>
      <w:r>
        <w:rPr>
          <w:rFonts w:ascii="Arial" w:hAnsi="Arial" w:cs="Arial"/>
          <w:i/>
          <w:iCs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нанесение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ущерба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случае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сбоя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веб</w:t>
      </w:r>
      <w:r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>сайта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нарушения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безопасности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82" w:name="101"/>
      <w:bookmarkEnd w:id="182"/>
      <w:r>
        <w:rPr>
          <w:rFonts w:ascii="Arial" w:hAnsi="Arial" w:cs="Arial"/>
          <w:i/>
          <w:iCs/>
          <w:color w:val="000000"/>
        </w:rPr>
        <w:t>Аудиторские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процедуры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отношении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целостности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информации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системе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бухгалтерского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учета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касающиеся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электронной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торговли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будут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связаны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оценкой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</w:t>
      </w:r>
      <w:r>
        <w:rPr>
          <w:rFonts w:ascii="Arial" w:hAnsi="Arial" w:cs="Arial"/>
          <w:i/>
          <w:iCs/>
          <w:color w:val="000000"/>
        </w:rPr>
        <w:t>адежности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сбора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обработки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операций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Таким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образом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отличие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аудиторских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процедур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традиционных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бизнес</w:t>
      </w:r>
      <w:r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>операций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которые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фокусируются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отдельно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контрольных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процессах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относящиеся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каждому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этапу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обработки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операции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аудиторские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процедуры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для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</w:t>
      </w:r>
      <w:r>
        <w:rPr>
          <w:rFonts w:ascii="Arial" w:hAnsi="Arial" w:cs="Arial"/>
          <w:i/>
          <w:iCs/>
          <w:color w:val="000000"/>
        </w:rPr>
        <w:t>ложной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электронной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торговли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часто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сосредоточены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автоматизированном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контроле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83" w:name="212"/>
      <w:bookmarkEnd w:id="183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84" w:name="102"/>
      <w:bookmarkEnd w:id="184"/>
      <w:r>
        <w:rPr>
          <w:rFonts w:ascii="Arial" w:hAnsi="Arial" w:cs="Arial"/>
          <w:b/>
          <w:bCs/>
          <w:color w:val="000000"/>
        </w:rPr>
        <w:t>Примеры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рисков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85" w:name="103"/>
      <w:bookmarkEnd w:id="185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Кейс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Бизнес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Аудиторский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риск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Аудируемая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индустрии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разрабатывает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новые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игры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для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розничных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магазинах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Быстро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меняющаяся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отрасль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постоянным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развитием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продукта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связанный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нехваткой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ресурсов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опыта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чтобы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отставать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темпов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развития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завышенной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запасов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время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устарели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крайнем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случае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необходимости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настоящее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время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ожидает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подтверждение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увеличена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Неспособность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возо</w:t>
            </w:r>
            <w:r>
              <w:rPr>
                <w:rFonts w:ascii="Arial" w:hAnsi="Arial" w:cs="Arial"/>
                <w:color w:val="000000"/>
              </w:rPr>
              <w:t>бновить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овердрафт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увеличить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недостаточного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дорогостоящего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аудируемого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лица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заинтересовано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лучшем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свете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результате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манипулирован</w:t>
            </w:r>
            <w:r>
              <w:rPr>
                <w:rFonts w:ascii="Arial" w:hAnsi="Arial" w:cs="Arial"/>
                <w:color w:val="000000"/>
              </w:rPr>
              <w:t>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отчетностью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Отсутствие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подтверждения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стороны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представляет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собой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фундаментальную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неопределенность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отношении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непрерывности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также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потребует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примечаниях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недавно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открыл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торговый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рубежом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Новое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предприятие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рубежом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неуспешным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рынок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возможно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был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переоценен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Колебания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иностранной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валюты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повлиять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прибыль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компании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возникнуть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ошибки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переоценке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Переоценка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конец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месяца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отражена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искажению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кредиторской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задолженности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производитель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заключил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контракт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новым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поставщиком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поставку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всего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сырья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Срыв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производственного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процесса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если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поставщик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обеспечит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нужное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качество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сырья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нужное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время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задержке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снабжении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клиентов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Некачественная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продукция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потребовать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снижения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Это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тому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продажная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цена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будет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ниже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стоимости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что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величит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риск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завышения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туристическое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агентство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приняли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решение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сокращении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своей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переходу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электронным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продажам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через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интернет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Принятая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стратегия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приведет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расширению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рынка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сокращению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постоянных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расходов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поскольку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работать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одного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более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дешевого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офиса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Бизнес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потерять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продажи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из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за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компьютерных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вирусов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которые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поставить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угрозу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непрерывность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компании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Бизнес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понести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убытки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мошенничества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кредитными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картами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Неопределенн</w:t>
            </w:r>
            <w:r>
              <w:rPr>
                <w:rFonts w:ascii="Arial" w:hAnsi="Arial" w:cs="Arial"/>
                <w:color w:val="000000"/>
              </w:rPr>
              <w:t>ость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непрерывности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деятельности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может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раскрыта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примечаниях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Убытки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возникающие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мошеннических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операций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могут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быть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признаны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финансовой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отчетности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86" w:name="105"/>
      <w:bookmarkEnd w:id="18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b/>
                <w:bCs/>
                <w:i/>
                <w:iCs/>
                <w:color w:val="392C69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Это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может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быть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92C69"/>
              </w:rPr>
              <w:t>интересно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Проверка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соблюдения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закон</w:t>
            </w:r>
            <w:r>
              <w:rPr>
                <w:rFonts w:ascii="Arial" w:hAnsi="Arial" w:cs="Arial"/>
                <w:i/>
                <w:iCs/>
                <w:color w:val="392C69"/>
              </w:rPr>
              <w:t>одательства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при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аудите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финансовой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отчетности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Аудиторы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недобросовестные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действия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аудируемых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лиц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Аудиторская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документация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  <w:p w:rsidR="00000000" w:rsidRDefault="0074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Arial" w:hAnsi="Arial" w:cs="Arial"/>
                <w:i/>
                <w:iCs/>
                <w:color w:val="392C69"/>
              </w:rPr>
            </w:pPr>
            <w:r>
              <w:rPr>
                <w:rFonts w:ascii="Arial" w:hAnsi="Arial" w:cs="Arial"/>
                <w:i/>
                <w:iCs/>
                <w:color w:val="392C69"/>
              </w:rPr>
              <w:t>Подборка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материалов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по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аудиторской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92C69"/>
              </w:rPr>
              <w:t>деятельности</w:t>
            </w:r>
            <w:r>
              <w:rPr>
                <w:rFonts w:ascii="Arial" w:hAnsi="Arial" w:cs="Arial"/>
                <w:i/>
                <w:iCs/>
                <w:color w:val="392C69"/>
              </w:rPr>
              <w:t xml:space="preserve"> &gt;&gt;&gt;</w:t>
            </w:r>
          </w:p>
        </w:tc>
      </w:tr>
    </w:tbl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7" w:name="106"/>
      <w:bookmarkEnd w:id="187"/>
      <w:r>
        <w:rPr>
          <w:rFonts w:ascii="Arial" w:hAnsi="Arial" w:cs="Arial"/>
          <w:color w:val="000000"/>
        </w:rPr>
        <w:t> </w:t>
      </w:r>
    </w:p>
    <w:p w:rsidR="0000000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8" w:name="3"/>
      <w:bookmarkEnd w:id="188"/>
      <w:r>
        <w:rPr>
          <w:rFonts w:ascii="Arial" w:hAnsi="Arial" w:cs="Arial"/>
          <w:color w:val="000000"/>
        </w:rPr>
        <w:t> </w:t>
      </w:r>
    </w:p>
    <w:p w:rsidR="007420D0" w:rsidRDefault="00742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9" w:name="4"/>
      <w:bookmarkEnd w:id="189"/>
      <w:r>
        <w:rPr>
          <w:rFonts w:ascii="Arial" w:hAnsi="Arial" w:cs="Arial"/>
          <w:color w:val="000000"/>
        </w:rPr>
        <w:t>-------------------------------------------------------</w:t>
      </w:r>
      <w:r>
        <w:rPr>
          <w:rFonts w:ascii="Arial" w:hAnsi="Arial" w:cs="Arial"/>
          <w:color w:val="000000"/>
        </w:rPr>
        <w:t>-----------</w:t>
      </w:r>
    </w:p>
    <w:sectPr w:rsidR="007420D0">
      <w:pgSz w:w="11905" w:h="16837" w:orient="landscape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D0" w:rsidRDefault="007420D0">
      <w:pPr>
        <w:spacing w:after="0" w:line="240" w:lineRule="auto"/>
      </w:pPr>
      <w:r>
        <w:separator/>
      </w:r>
    </w:p>
  </w:endnote>
  <w:endnote w:type="continuationSeparator" w:id="0">
    <w:p w:rsidR="007420D0" w:rsidRDefault="0074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20D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D0" w:rsidRDefault="007420D0">
      <w:pPr>
        <w:spacing w:after="0" w:line="240" w:lineRule="auto"/>
      </w:pPr>
      <w:r>
        <w:separator/>
      </w:r>
    </w:p>
  </w:footnote>
  <w:footnote w:type="continuationSeparator" w:id="0">
    <w:p w:rsidR="007420D0" w:rsidRDefault="0074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20D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1"/>
    <w:rsid w:val="007420D0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1220FA-1226-4CD0-AC4F-427DD61B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15588</Words>
  <Characters>88854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2021-01-06T18:29:00Z</dcterms:created>
  <dcterms:modified xsi:type="dcterms:W3CDTF">2021-01-06T18:29:00Z</dcterms:modified>
</cp:coreProperties>
</file>