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02"/>
        <w:gridCol w:w="1771"/>
        <w:tblGridChange w:id="0">
          <w:tblGrid>
            <w:gridCol w:w="9002"/>
            <w:gridCol w:w="177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120" w:before="12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ОПИСАНИЕ ЭЛЕМЕНТОВ СИСТЕМЫ ВНУТРЕННЕГО КОНТРОЛЯ АУДИРУЕМОГО ЛИЦА (ОРГАНИЗАЦИИ)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КОД </w:t>
            </w:r>
            <w:r w:rsidDel="00000000" w:rsidR="00000000" w:rsidRPr="00000000">
              <w:rPr>
                <w:b w:val="1"/>
                <w:rtl w:val="0"/>
              </w:rPr>
              <w:t xml:space="preserve">ДОКУМЕНТА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73.0" w:type="dxa"/>
        <w:jc w:val="left"/>
        <w:tblInd w:w="71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8"/>
        <w:gridCol w:w="3685"/>
        <w:tblGridChange w:id="0">
          <w:tblGrid>
            <w:gridCol w:w="7088"/>
            <w:gridCol w:w="3685"/>
          </w:tblGrid>
        </w:tblGridChange>
      </w:tblGrid>
      <w:tr>
        <w:trPr>
          <w:trHeight w:val="29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КЛИЕНТ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ПЕРИОД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с по </w:t>
            </w:r>
          </w:p>
        </w:tc>
      </w:tr>
    </w:tbl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pacing w:after="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Контрольная среда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7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3"/>
        <w:tblGridChange w:id="0">
          <w:tblGrid>
            <w:gridCol w:w="10773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spacing w:after="40" w:before="40" w:lineRule="auto"/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Цель – оценить, насколько руководством и ЛОКУ создана культура честности и этического поведения в организации, обеспечивает ли контрольная среда надлежащую основу для функционирования надежной СВК.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6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3"/>
        <w:gridCol w:w="1843"/>
        <w:gridCol w:w="1839"/>
        <w:tblGridChange w:id="0">
          <w:tblGrid>
            <w:gridCol w:w="7083"/>
            <w:gridCol w:w="1843"/>
            <w:gridCol w:w="1839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40" w:before="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Аудиторские процедуры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Описание результатов процедур,</w:t>
            </w:r>
          </w:p>
          <w:p w:rsidR="00000000" w:rsidDel="00000000" w:rsidP="00000000" w:rsidRDefault="00000000" w:rsidRPr="00000000" w14:paraId="0000000E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ссылки на источники информации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Отметьте позиции, влияющие на увеличение РСИ отчетности</w:t>
            </w:r>
          </w:p>
        </w:tc>
      </w:tr>
      <w:tr>
        <w:trPr>
          <w:trHeight w:val="6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Опишите информированность руководства и персонала о принципе честности и этических ценностях, процесс продвижения этих принципов среди персонала. Например, наличие этического Кодекса.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Опишите приверженность руководства и персонала профессиональной компетентности (назначение на должности персонала надлежащего уровня). Например, наличие  справочника квалификаций, уровня знаний для каждой позиции.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Опишите степень участия лиц, отвечающих за корпоративное управление (независимость ЛОКУ, их опыт, степень их участия в деятельности организации). Например, участие ЛОКУ в инвентаризации, визирование документов, согласование крупных сделок.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Опишите философию и стиль управления руководства (подход к принятию на себя рисков, управление ими, отношение к персоналу, занятому в сфере контроля и бухучета, отношение к процессу составления отчетности). Например, реакция руководства на  замечания контролеров, исправление ошибок как внешнего контроля, так и внутреннего аудита.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Опишите организационную структуру  (организацию процессов, благодаря которой организация достигает поставленных целей). Выделено ли специальное лицо (подразделение) по СВК или службе внутреннего аудита.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Опишите распределение полномочий и ответственности (иерархия полномочий, взаимодействие между уровнями сотрудников, обеспечение контроля одного за другим). Например, регламенты по документообороту, распределение полномочий между МОЛ и распорядителями денежных средств.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Опишите кадровую политика и практику (политику и практику по набору, оценке и продвижению персонала с целью наличия надлежащего персонала в организации). Наличие кадровой политики, которая предусматривает продвижение и оценку персонала.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Style w:val="Heading1"/>
        <w:spacing w:after="0" w:before="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numPr>
          <w:ilvl w:val="0"/>
          <w:numId w:val="1"/>
        </w:numPr>
        <w:spacing w:after="0" w:before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Процесс оценки рисков (бизнес-рисков) организацией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3"/>
        <w:tblGridChange w:id="0">
          <w:tblGrid>
            <w:gridCol w:w="10773"/>
          </w:tblGrid>
        </w:tblGridChange>
      </w:tblGrid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Цель – установить применяется ли в организации надлежащая система по оценке ее бизнес-рисков и выработке мер в ответ на выявленные риски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3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8"/>
        <w:gridCol w:w="1843"/>
        <w:gridCol w:w="1842"/>
        <w:tblGridChange w:id="0">
          <w:tblGrid>
            <w:gridCol w:w="7088"/>
            <w:gridCol w:w="1843"/>
            <w:gridCol w:w="1842"/>
          </w:tblGrid>
        </w:tblGridChange>
      </w:tblGrid>
      <w:tr>
        <w:tc>
          <w:tcPr/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Аудиторские процедуры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Комментарий,</w:t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ссылки на источники информации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Отметьте позиции, влияющие на увеличение РСИ отчетности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/>
          <w:p w:rsidR="00000000" w:rsidDel="00000000" w:rsidP="00000000" w:rsidRDefault="00000000" w:rsidRPr="00000000" w14:paraId="00000030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Образовано ли в организации специальное подразделение, занимающееся риск-менеджментом (или специалист)?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8" w:hRule="atLeast"/>
        </w:trPr>
        <w:tc>
          <w:tcPr/>
          <w:p w:rsidR="00000000" w:rsidDel="00000000" w:rsidP="00000000" w:rsidRDefault="00000000" w:rsidRPr="00000000" w14:paraId="00000033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Есть ли в организации процесс (формально описанный или неформально существующий) по выявлению бизнес рисков, связанных с целями составления финансовой отчетности, оценке существенности этих рисков; оценки вероятности их появления и определение необходимых действий в ответ на эти риски?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8" w:hRule="atLeast"/>
        </w:trPr>
        <w:tc>
          <w:tcPr/>
          <w:p w:rsidR="00000000" w:rsidDel="00000000" w:rsidP="00000000" w:rsidRDefault="00000000" w:rsidRPr="00000000" w14:paraId="00000036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Были ли выявлены аудитором риски, которые не были обнаружены в процессе оценки рисков самой организацией? Если да, оцените почему эти риски не были идентифицированы самой организацией.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8" w:hRule="atLeast"/>
        </w:trPr>
        <w:tc>
          <w:tcPr/>
          <w:p w:rsidR="00000000" w:rsidDel="00000000" w:rsidP="00000000" w:rsidRDefault="00000000" w:rsidRPr="00000000" w14:paraId="00000039">
            <w:pPr>
              <w:ind w:left="3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Достаточно ли того процесса по выявлению и оценке рисков, который присутствует в организации, или есть свидетельство наличия значимого недостатка внутреннего контроля?  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Style w:val="Heading1"/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Информационная система и информационное взаимодействие  </w:t>
      </w:r>
    </w:p>
    <w:tbl>
      <w:tblPr>
        <w:tblStyle w:val="Table7"/>
        <w:tblW w:w="107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39"/>
        <w:tblGridChange w:id="0">
          <w:tblGrid>
            <w:gridCol w:w="10739"/>
          </w:tblGrid>
        </w:tblGridChange>
      </w:tblGrid>
      <w:tr>
        <w:tc>
          <w:tcPr/>
          <w:p w:rsidR="00000000" w:rsidDel="00000000" w:rsidP="00000000" w:rsidRDefault="00000000" w:rsidRPr="00000000" w14:paraId="0000003D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Цель – получить понимание информационной системы, включая соответствующие бизнес-процессы, относящиеся к подготовке отчетности; получить понимание информационного взаимодействия между персоналом и руководством, руководством и ЛОКУ, организацией и третьими лицами.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6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3"/>
        <w:gridCol w:w="1843"/>
        <w:gridCol w:w="1839"/>
        <w:tblGridChange w:id="0">
          <w:tblGrid>
            <w:gridCol w:w="7083"/>
            <w:gridCol w:w="1843"/>
            <w:gridCol w:w="1839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tabs>
                <w:tab w:val="left" w:pos="-240"/>
                <w:tab w:val="left" w:pos="34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ind w:left="34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Аудиторские процедуры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Комментарий,</w:t>
            </w:r>
          </w:p>
          <w:p w:rsidR="00000000" w:rsidDel="00000000" w:rsidP="00000000" w:rsidRDefault="00000000" w:rsidRPr="00000000" w14:paraId="00000041">
            <w:pPr>
              <w:spacing w:after="96.00000000000001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ссылки на источники информации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96.00000000000001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Отметьте позиции, влияющие на увеличение РСИ отчетности</w:t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96.00000000000001" w:before="40" w:lineRule="auto"/>
              <w:ind w:left="2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Задокументируйте, какие типы операций/разделов отчетности значимы для финансовой отчетности организации;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-840"/>
                <w:tab w:val="left" w:pos="-240"/>
                <w:tab w:val="left" w:pos="454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ind w:left="2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Задокументируйте,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процедуры, как в системе с применением информационных технологий, так и в системе ручной обработки данных, с помощью которых такие операции инициируются, записываются, обрабатываются, корректируются в случае необходимости, переносятся в ОСВ и отражаются в финансовой отчетности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96.00000000000001" w:before="40" w:lineRule="auto"/>
              <w:ind w:left="2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Задокументируйте,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соответствующие таким операциям учетные записи,  специфические счета, которые используются для инициации, записи, обработки данных, их корректировку и отражение в ОСВ. Записи могут быть либо в документарной, либо в электронной форме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96.00000000000001" w:before="40" w:lineRule="auto"/>
              <w:ind w:left="2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Задокументируйте,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каким образом система фиксирует события и условия, помимо операций, которые являются значимыми для финансовой отчетности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ind w:left="2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Задокументируйте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процесс подготовки финансовой отчетности, в том числе процесс подготовки значительных оценочных значений и раскрытий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96.00000000000001" w:before="40" w:lineRule="auto"/>
              <w:ind w:left="2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Задокументируйте, средства контроля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 отношении бухгалтерских записей, включая нестандартные бухгалтерские записи, применяемые для учета разовых, необычных операций или корректировок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96.00000000000001" w:before="40" w:lineRule="auto"/>
              <w:ind w:left="29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Задокументируйте каким образом организация сообщает информацию о функциях и обязанностях при подготовке отчетности, а также о значимых вопросах, связанных с финансовой отчетностью при общении между: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40" w:line="240" w:lineRule="auto"/>
              <w:ind w:left="45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(а) руководством и лицами, отвечающими за корпоративное управление (ЛОКУ)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.00000000000001" w:before="40" w:line="240" w:lineRule="auto"/>
              <w:ind w:left="45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(б) сообщение информации третьим лицам, например, регулирующим органам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96.00000000000001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Контрольные действия, значимые для проводимого аудита</w:t>
      </w:r>
      <w:r w:rsidDel="00000000" w:rsidR="00000000" w:rsidRPr="00000000">
        <w:rPr>
          <w:sz w:val="18"/>
          <w:szCs w:val="18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tbl>
      <w:tblPr>
        <w:tblStyle w:val="Table9"/>
        <w:tblW w:w="107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39"/>
        <w:tblGridChange w:id="0">
          <w:tblGrid>
            <w:gridCol w:w="10739"/>
          </w:tblGrid>
        </w:tblGridChange>
      </w:tblGrid>
      <w:tr>
        <w:tc>
          <w:tcPr/>
          <w:p w:rsidR="00000000" w:rsidDel="00000000" w:rsidP="00000000" w:rsidRDefault="00000000" w:rsidRPr="00000000" w14:paraId="0000005F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Цель – получить понимание контрольных действий, связанных с аудитом, а именно тех, которые необходимы для того, чтобы оценить риски существенного искажения на уровне предпосылок в финансовой отчетности, и разработать аудиторские процедуры в соответствии с оцененными рисками.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768.999999999998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8"/>
        <w:gridCol w:w="1844"/>
        <w:gridCol w:w="1837"/>
        <w:tblGridChange w:id="0">
          <w:tblGrid>
            <w:gridCol w:w="7088"/>
            <w:gridCol w:w="1844"/>
            <w:gridCol w:w="183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tabs>
                <w:tab w:val="left" w:pos="-240"/>
                <w:tab w:val="left" w:pos="34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ind w:left="34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Аудиторские процедуры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Комментарий,</w:t>
            </w:r>
          </w:p>
          <w:p w:rsidR="00000000" w:rsidDel="00000000" w:rsidP="00000000" w:rsidRDefault="00000000" w:rsidRPr="00000000" w14:paraId="00000064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ссылки на источники информации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Отметьте позиции, влияющие на увеличение РСИ</w:t>
            </w:r>
          </w:p>
        </w:tc>
      </w:tr>
      <w:tr>
        <w:trPr>
          <w:trHeight w:val="4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Задокументируйте, каким образом организация отвечает на риски ИТ систем.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Задокументируйте, средства контроля в отношении процесса подготовки организацией оценочных значений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Задокументируйте, средства контроля в отношении подготовки вывода в отношении допустимости применения принципа непрерывности деятельности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Задокументируйте средства контроля в отношении обслуживающей организации, если применимо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Задокументируйте средства контроля в отношении учета операций со связанными сторонами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Задокументируйте средства контроля в отношении участка судебные споры и прочие резервы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Задокументируйте, средства контроля в отношении корректности журнальных проводок, включая нетипичные записи, сторнирующие записи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pos="-840"/>
                <w:tab w:val="left" w:pos="-24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Мониторинг средств контроля </w:t>
      </w:r>
    </w:p>
    <w:tbl>
      <w:tblPr>
        <w:tblStyle w:val="Table11"/>
        <w:tblW w:w="107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39"/>
        <w:tblGridChange w:id="0">
          <w:tblGrid>
            <w:gridCol w:w="10739"/>
          </w:tblGrid>
        </w:tblGridChange>
      </w:tblGrid>
      <w:tr>
        <w:tc>
          <w:tcPr/>
          <w:p w:rsidR="00000000" w:rsidDel="00000000" w:rsidP="00000000" w:rsidRDefault="00000000" w:rsidRPr="00000000" w14:paraId="0000007F">
            <w:pPr>
              <w:spacing w:after="40" w:before="40" w:lineRule="auto"/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Цель- получить понимание основных действий, которые используются организацией для мониторинга средств внутреннего контроля за подготовкой финансовой отчетности, порядка исправления недостатков в средствах контроля.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76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77"/>
        <w:gridCol w:w="1645"/>
        <w:gridCol w:w="2243"/>
        <w:tblGridChange w:id="0">
          <w:tblGrid>
            <w:gridCol w:w="6877"/>
            <w:gridCol w:w="1645"/>
            <w:gridCol w:w="224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pos="-240"/>
                <w:tab w:val="left" w:pos="34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  <w:tab w:val="left" w:pos="9360"/>
                <w:tab w:val="left" w:pos="9960"/>
                <w:tab w:val="left" w:pos="10560"/>
                <w:tab w:val="left" w:pos="11160"/>
              </w:tabs>
              <w:spacing w:after="40" w:before="40" w:lineRule="auto"/>
              <w:ind w:left="34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Аудиторские процедуры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Комментарий,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ссылки на источники информации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Отметьте позиции, влияющие на увеличение РСИ отчетности</w:t>
            </w:r>
          </w:p>
        </w:tc>
      </w:tr>
      <w:tr>
        <w:trPr>
          <w:trHeight w:val="107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2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Есть ли в организации служба внутреннего аудита? Если есть, определите связь ее деятельности с процессом подготовки отчетности и отношение ее деятельности к СВК. Сделайте вывод в отношении целесообразности изменения плана аудита, если вы собираетесь полагаться на работу внутреннего аудита.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2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Задокументируйте основные способы, с помощью которых организация проводит мониторинг СВК, относящейся к процессу составления финансовой отчетности (организация внутренних проверок реагирование на выявленные недостатки, реакция на внешние проверки, последствия, меры).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2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Получите подтверждение тому, что использованные источники информации для проведения мониторинга организацией являются надежными.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40" w:before="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Style w:val="Heading1"/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Сделайте предварительный вывод о целесообразности тестирования эффективности средств контроля.</w:t>
      </w:r>
    </w:p>
    <w:tbl>
      <w:tblPr>
        <w:tblStyle w:val="Table13"/>
        <w:tblW w:w="107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39"/>
        <w:tblGridChange w:id="0">
          <w:tblGrid>
            <w:gridCol w:w="10739"/>
          </w:tblGrid>
        </w:tblGridChange>
      </w:tblGrid>
      <w:tr>
        <w:tc>
          <w:tcPr/>
          <w:p w:rsidR="00000000" w:rsidDel="00000000" w:rsidP="00000000" w:rsidRDefault="00000000" w:rsidRPr="00000000" w14:paraId="0000008F">
            <w:pPr>
              <w:pStyle w:val="Heading1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СВК предварительно оценена как эффективная и может быть протестирована с целью уменьшения детальных тестов по существу по следующим разделам (указать разделы) </w:t>
            </w:r>
          </w:p>
          <w:p w:rsidR="00000000" w:rsidDel="00000000" w:rsidP="00000000" w:rsidRDefault="00000000" w:rsidRPr="00000000" w14:paraId="00000090">
            <w:pPr>
              <w:pStyle w:val="Heading1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ЛИБО</w:t>
            </w:r>
          </w:p>
          <w:p w:rsidR="00000000" w:rsidDel="00000000" w:rsidP="00000000" w:rsidRDefault="00000000" w:rsidRPr="00000000" w14:paraId="00000091">
            <w:pPr>
              <w:pStyle w:val="Heading1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СВК предварительно оценена как неэффективная (отсутствует полностью), а следовательно, тестирование эффективности нецелесообразно.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Style w:val="Heading1"/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Для вынесения в письменный отчет о выявленных значимых недостатках СВК (МСА 265)</w:t>
      </w:r>
    </w:p>
    <w:tbl>
      <w:tblPr>
        <w:tblStyle w:val="Table14"/>
        <w:tblW w:w="1076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9"/>
        <w:gridCol w:w="5088"/>
        <w:gridCol w:w="1944"/>
        <w:gridCol w:w="1944"/>
        <w:tblGridChange w:id="0">
          <w:tblGrid>
            <w:gridCol w:w="1789"/>
            <w:gridCol w:w="5088"/>
            <w:gridCol w:w="1944"/>
            <w:gridCol w:w="1944"/>
          </w:tblGrid>
        </w:tblGridChange>
      </w:tblGrid>
      <w:tr>
        <w:trPr>
          <w:trHeight w:val="751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3">
            <w:pPr>
              <w:spacing w:after="40" w:before="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Сформулируйте вопросы, которые свидетельствуют о значимых недостатках СВК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и о которых надлежит информировать руководство и ЛОКУ. Внесите в план аудита направление такого письменного отчета. 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5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spacing w:after="120" w:lineRule="auto"/>
              <w:ind w:left="57" w:right="5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120" w:lineRule="auto"/>
              <w:ind w:left="57" w:right="5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20" w:lineRule="auto"/>
              <w:ind w:left="57" w:right="5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Подпись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20" w:lineRule="auto"/>
              <w:ind w:left="57" w:right="57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Дата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spacing w:after="120" w:lineRule="auto"/>
              <w:ind w:right="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Подготовил: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spacing w:after="120" w:lineRule="auto"/>
              <w:ind w:right="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Проверил: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993" w:top="1276" w:left="709" w:right="566" w:header="28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Ссылки на источники включают в себя ссылки на процедуры: запросы (письменные и устные), наблюдение, инспектирование, аналитические процедуры, а также на документацию как клиента, так и РД аудитора</w:t>
      </w:r>
    </w:p>
  </w:footnote>
  <w:footnote w:id="1">
    <w:p w:rsidR="00000000" w:rsidDel="00000000" w:rsidP="00000000" w:rsidRDefault="00000000" w:rsidRPr="00000000" w14:paraId="000000A5">
      <w:pPr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Примеры контрольных действий: а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вторизация (визирование), инвентаризация, распределение полномочий внутри организации между материально-ответственными лицами и распорядителями денежных ресурсов, сверки между подразделениями, санкционирование доступа, ИТ-контроли и другие.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Значительность недостатка или сочетания недостатков в системе внутреннего контроля зависит не только от того, имело ли место искажение, но и от вероятности того, что искажение может иметь место, а также от возможного размера этого искажения (МСА 265, А5).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5"/>
      <w:tblW w:w="9351.0" w:type="dxa"/>
      <w:jc w:val="left"/>
      <w:tblInd w:w="0.0" w:type="pct"/>
      <w:tblLayout w:type="fixed"/>
      <w:tblLook w:val="0000"/>
    </w:tblPr>
    <w:tblGrid>
      <w:gridCol w:w="9351"/>
      <w:tblGridChange w:id="0">
        <w:tblGrid>
          <w:gridCol w:w="9351"/>
        </w:tblGrid>
      </w:tblGridChange>
    </w:tblGrid>
    <w:tr>
      <w:trPr>
        <w:trHeight w:val="573" w:hRule="atLeast"/>
      </w:trPr>
      <w:tc>
        <w:tcPr/>
        <w:p w:rsidR="00000000" w:rsidDel="00000000" w:rsidP="00000000" w:rsidRDefault="00000000" w:rsidRPr="00000000" w14:paraId="000000A8">
          <w:pPr>
            <w:tabs>
              <w:tab w:val="center" w:pos="4153"/>
              <w:tab w:val="right" w:pos="8306"/>
            </w:tabs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934" w:hRule="atLeast"/>
      </w:trPr>
      <w:tc>
        <w:tcPr/>
        <w:p w:rsidR="00000000" w:rsidDel="00000000" w:rsidP="00000000" w:rsidRDefault="00000000" w:rsidRPr="00000000" w14:paraId="000000A9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right" w:pos="10065"/>
      </w:tabs>
      <w:spacing w:after="0" w:before="0" w:line="240" w:lineRule="auto"/>
      <w:ind w:left="0" w:right="0" w:hanging="426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40" w:before="40" w:lineRule="auto"/>
      <w:jc w:val="both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A4DFA"/>
    <w:rPr>
      <w:rFonts w:ascii="Arial" w:hAnsi="Arial"/>
      <w:lang w:eastAsia="en-GB" w:val="en-GB"/>
    </w:rPr>
  </w:style>
  <w:style w:type="paragraph" w:styleId="10">
    <w:name w:val="heading 1"/>
    <w:basedOn w:val="a"/>
    <w:next w:val="a"/>
    <w:qFormat w:val="1"/>
    <w:rsid w:val="00F60D7B"/>
    <w:pPr>
      <w:keepNext w:val="1"/>
      <w:spacing w:after="120" w:before="120"/>
      <w:outlineLvl w:val="0"/>
    </w:pPr>
    <w:rPr>
      <w:b w:val="1"/>
    </w:rPr>
  </w:style>
  <w:style w:type="paragraph" w:styleId="20">
    <w:name w:val="heading 2"/>
    <w:basedOn w:val="a"/>
    <w:next w:val="a"/>
    <w:qFormat w:val="1"/>
    <w:rsid w:val="00FA4DFA"/>
    <w:pPr>
      <w:keepNext w:val="1"/>
      <w:spacing w:after="120" w:before="120"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 w:val="1"/>
    <w:rsid w:val="00FA4DFA"/>
    <w:pPr>
      <w:keepNext w:val="1"/>
      <w:spacing w:after="120" w:before="120"/>
      <w:jc w:val="center"/>
      <w:outlineLvl w:val="2"/>
    </w:pPr>
    <w:rPr>
      <w:b w:val="1"/>
      <w:bCs w:val="1"/>
      <w:sz w:val="28"/>
      <w:lang w:val="ru-RU"/>
    </w:rPr>
  </w:style>
  <w:style w:type="paragraph" w:styleId="4">
    <w:name w:val="heading 4"/>
    <w:basedOn w:val="a"/>
    <w:next w:val="a"/>
    <w:qFormat w:val="1"/>
    <w:rsid w:val="00FA4DFA"/>
    <w:pPr>
      <w:keepNext w:val="1"/>
      <w:spacing w:after="120" w:before="120"/>
      <w:outlineLvl w:val="3"/>
    </w:pPr>
    <w:rPr>
      <w:b w:val="1"/>
      <w:bCs w:val="1"/>
      <w:sz w:val="28"/>
      <w:lang w:val="ru-RU"/>
    </w:rPr>
  </w:style>
  <w:style w:type="paragraph" w:styleId="5">
    <w:name w:val="heading 5"/>
    <w:basedOn w:val="a"/>
    <w:next w:val="a"/>
    <w:qFormat w:val="1"/>
    <w:rsid w:val="00FA4DFA"/>
    <w:pPr>
      <w:keepNext w:val="1"/>
      <w:spacing w:after="40" w:before="40"/>
      <w:jc w:val="both"/>
      <w:outlineLvl w:val="4"/>
    </w:pPr>
    <w:rPr>
      <w:b w:val="1"/>
      <w:lang w:val="ru-RU"/>
    </w:rPr>
  </w:style>
  <w:style w:type="paragraph" w:styleId="6">
    <w:name w:val="heading 6"/>
    <w:basedOn w:val="a"/>
    <w:next w:val="a"/>
    <w:qFormat w:val="1"/>
    <w:rsid w:val="00FA4DFA"/>
    <w:pPr>
      <w:spacing w:after="60" w:before="240"/>
      <w:outlineLvl w:val="5"/>
    </w:pPr>
    <w:rPr>
      <w:b w:val="1"/>
      <w:bCs w:val="1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rsid w:val="00B71D85"/>
    <w:pPr>
      <w:spacing w:after="120" w:before="120"/>
      <w:jc w:val="both"/>
    </w:pPr>
  </w:style>
  <w:style w:type="paragraph" w:styleId="a4">
    <w:name w:val="header"/>
    <w:basedOn w:val="a"/>
    <w:rsid w:val="00FA4DF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A4DFA"/>
    <w:pPr>
      <w:tabs>
        <w:tab w:val="center" w:pos="4153"/>
        <w:tab w:val="right" w:pos="8306"/>
      </w:tabs>
    </w:pPr>
  </w:style>
  <w:style w:type="character" w:styleId="a6">
    <w:name w:val="page number"/>
    <w:rsid w:val="00FA4DFA"/>
    <w:rPr>
      <w:rFonts w:ascii="Arial" w:hAnsi="Arial"/>
    </w:rPr>
  </w:style>
  <w:style w:type="paragraph" w:styleId="a7">
    <w:name w:val="Balloon Text"/>
    <w:basedOn w:val="a"/>
    <w:semiHidden w:val="1"/>
    <w:rsid w:val="00FA4DFA"/>
    <w:rPr>
      <w:rFonts w:ascii="Tahoma" w:cs="Tahoma" w:hAnsi="Tahoma"/>
      <w:sz w:val="16"/>
      <w:szCs w:val="16"/>
    </w:rPr>
  </w:style>
  <w:style w:type="paragraph" w:styleId="2" w:customStyle="1">
    <w:name w:val="Маркированный 2"/>
    <w:basedOn w:val="a"/>
    <w:rsid w:val="00FA4DFA"/>
    <w:pPr>
      <w:numPr>
        <w:ilvl w:val="1"/>
        <w:numId w:val="37"/>
      </w:numPr>
    </w:pPr>
  </w:style>
  <w:style w:type="paragraph" w:styleId="1" w:customStyle="1">
    <w:name w:val="Маркированный 1"/>
    <w:basedOn w:val="a"/>
    <w:rsid w:val="00FA4DFA"/>
    <w:pPr>
      <w:numPr>
        <w:ilvl w:val="2"/>
        <w:numId w:val="37"/>
      </w:numPr>
    </w:pPr>
  </w:style>
  <w:style w:type="table" w:styleId="a8">
    <w:name w:val="Table Grid"/>
    <w:basedOn w:val="a1"/>
    <w:rsid w:val="00F60D7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 w:customStyle="1">
    <w:name w:val="Текст письма"/>
    <w:rsid w:val="00F60D7B"/>
    <w:pPr>
      <w:autoSpaceDE w:val="0"/>
      <w:autoSpaceDN w:val="0"/>
      <w:adjustRightInd w:val="0"/>
      <w:spacing w:before="180" w:line="240" w:lineRule="exact"/>
      <w:jc w:val="both"/>
    </w:pPr>
    <w:rPr>
      <w:rFonts w:ascii="Arial" w:cs="Arial" w:hAnsi="Arial"/>
    </w:rPr>
  </w:style>
  <w:style w:type="paragraph" w:styleId="aa" w:customStyle="1">
    <w:name w:val="Подпись_"/>
    <w:basedOn w:val="a4"/>
    <w:rsid w:val="00F60D7B"/>
    <w:pPr>
      <w:tabs>
        <w:tab w:val="clear" w:pos="4153"/>
        <w:tab w:val="clear" w:pos="8306"/>
      </w:tabs>
      <w:spacing w:before="480"/>
    </w:pPr>
    <w:rPr>
      <w:szCs w:val="24"/>
      <w:lang w:eastAsia="ru-RU" w:val="ru-RU"/>
    </w:rPr>
  </w:style>
  <w:style w:type="paragraph" w:styleId="ab" w:customStyle="1">
    <w:name w:val="С уважением"/>
    <w:basedOn w:val="a"/>
    <w:rsid w:val="00F60D7B"/>
    <w:pPr>
      <w:autoSpaceDE w:val="0"/>
      <w:autoSpaceDN w:val="0"/>
      <w:adjustRightInd w:val="0"/>
      <w:spacing w:before="480" w:line="240" w:lineRule="exact"/>
    </w:pPr>
    <w:rPr>
      <w:rFonts w:cs="Arial"/>
      <w:lang w:eastAsia="ru-RU" w:val="ru-RU"/>
    </w:rPr>
  </w:style>
  <w:style w:type="paragraph" w:styleId="ac" w:customStyle="1">
    <w:name w:val="Организация"/>
    <w:basedOn w:val="a"/>
    <w:rsid w:val="00167EEA"/>
    <w:pPr>
      <w:spacing w:after="120" w:line="240" w:lineRule="exact"/>
      <w:jc w:val="right"/>
    </w:pPr>
    <w:rPr>
      <w:szCs w:val="24"/>
      <w:lang w:eastAsia="ru-RU" w:val="ru-RU"/>
    </w:rPr>
  </w:style>
  <w:style w:type="paragraph" w:styleId="ad" w:customStyle="1">
    <w:name w:val="Уважаемый"/>
    <w:basedOn w:val="a"/>
    <w:rsid w:val="00167EEA"/>
    <w:pPr>
      <w:spacing w:line="240" w:lineRule="exact"/>
    </w:pPr>
    <w:rPr>
      <w:szCs w:val="24"/>
      <w:lang w:eastAsia="ru-RU" w:val="en-US"/>
    </w:rPr>
  </w:style>
  <w:style w:type="paragraph" w:styleId="ae">
    <w:name w:val="List Paragraph"/>
    <w:basedOn w:val="a"/>
    <w:uiPriority w:val="34"/>
    <w:qFormat w:val="1"/>
    <w:rsid w:val="00831CA5"/>
    <w:pPr>
      <w:ind w:left="720"/>
    </w:pPr>
    <w:rPr>
      <w:rFonts w:ascii="Calibri" w:cs="Calibri" w:hAnsi="Calibri" w:eastAsiaTheme="minorHAnsi"/>
      <w:sz w:val="22"/>
      <w:szCs w:val="22"/>
      <w:lang w:eastAsia="en-US" w:val="en-US"/>
    </w:rPr>
  </w:style>
  <w:style w:type="paragraph" w:styleId="af">
    <w:name w:val="Revision"/>
    <w:hidden w:val="1"/>
    <w:uiPriority w:val="99"/>
    <w:semiHidden w:val="1"/>
    <w:rsid w:val="00CF70F6"/>
    <w:rPr>
      <w:rFonts w:ascii="Arial" w:hAnsi="Arial"/>
      <w:lang w:eastAsia="en-GB" w:val="en-GB"/>
    </w:rPr>
  </w:style>
  <w:style w:type="paragraph" w:styleId="af0">
    <w:name w:val="footnote text"/>
    <w:basedOn w:val="a"/>
    <w:link w:val="af1"/>
    <w:semiHidden w:val="1"/>
    <w:unhideWhenUsed w:val="1"/>
    <w:rsid w:val="001F17AD"/>
  </w:style>
  <w:style w:type="character" w:styleId="af1" w:customStyle="1">
    <w:name w:val="Текст сноски Знак"/>
    <w:basedOn w:val="a0"/>
    <w:link w:val="af0"/>
    <w:semiHidden w:val="1"/>
    <w:rsid w:val="001F17AD"/>
    <w:rPr>
      <w:rFonts w:ascii="Arial" w:hAnsi="Arial"/>
      <w:lang w:eastAsia="en-GB" w:val="en-GB"/>
    </w:rPr>
  </w:style>
  <w:style w:type="character" w:styleId="af2">
    <w:name w:val="footnote reference"/>
    <w:basedOn w:val="a0"/>
    <w:semiHidden w:val="1"/>
    <w:unhideWhenUsed w:val="1"/>
    <w:rsid w:val="001F17A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cxubfdGBPiO5YPfcKGGzLt/Fw==">AMUW2mUTxghRhHveZhacBGlAOf2FM1+NPBpJU7w5jQ1lLSYjMwf0aj6Snjg1jXeQ6M/K4E9eJE2rErXzh3J4rKzNaT0lGXIWt1PFa00cbess36BIdG4Cp6kMP5L8po5GiSvQfuL5fy1R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2017-02-01T09:16:00Z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ankName">
    <vt:lpwstr>Система внутреннего контроля</vt:lpwstr>
  </property>
  <property fmtid="{D5CDD505-2E9C-101B-9397-08002B2CF9AE}" pid="3" name="BlankCode">
    <vt:lpwstr>D-4.4</vt:lpwstr>
  </property>
  <property fmtid="{D5CDD505-2E9C-101B-9397-08002B2CF9AE}" pid="4" name="AuditYear">
    <vt:lpwstr>2016</vt:lpwstr>
  </property>
  <property fmtid="{D5CDD505-2E9C-101B-9397-08002B2CF9AE}" pid="5" name="ReleaseDateStr">
    <vt:lpwstr>01.09.2016</vt:lpwstr>
  </property>
</Properties>
</file>