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400"/>
        <w:gridCol w:w="313"/>
        <w:gridCol w:w="14"/>
        <w:gridCol w:w="236"/>
        <w:gridCol w:w="517"/>
        <w:gridCol w:w="563"/>
        <w:gridCol w:w="837"/>
        <w:gridCol w:w="798"/>
        <w:gridCol w:w="177"/>
        <w:gridCol w:w="59"/>
        <w:gridCol w:w="177"/>
        <w:gridCol w:w="61"/>
        <w:gridCol w:w="175"/>
        <w:gridCol w:w="91"/>
        <w:gridCol w:w="236"/>
        <w:gridCol w:w="236"/>
        <w:gridCol w:w="1655"/>
        <w:gridCol w:w="413"/>
        <w:gridCol w:w="563"/>
      </w:tblGrid>
      <w:tr w:rsidR="00D36076" w:rsidRPr="00D36076" w:rsidTr="002029DD">
        <w:trPr>
          <w:gridAfter w:val="2"/>
          <w:wAfter w:w="976" w:type="dxa"/>
          <w:trHeight w:val="450"/>
        </w:trPr>
        <w:tc>
          <w:tcPr>
            <w:tcW w:w="6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200" w:line="276" w:lineRule="auto"/>
              <w:ind w:firstLine="38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 НАЛИЧИЯ ФАКТОРОВ РИСКА НЕДОБРОСОВЕСТНЫХ ДЕЙСТВИЙ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6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РД № _______</w:t>
            </w:r>
          </w:p>
        </w:tc>
      </w:tr>
      <w:tr w:rsidR="00D36076" w:rsidRPr="00D36076" w:rsidTr="002029DD">
        <w:trPr>
          <w:gridAfter w:val="1"/>
          <w:wAfter w:w="563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076" w:rsidRPr="00D36076" w:rsidTr="002029DD">
        <w:trPr>
          <w:gridAfter w:val="2"/>
          <w:wAfter w:w="976" w:type="dxa"/>
          <w:trHeight w:val="450"/>
        </w:trPr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6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АУДИРУЕМОЕ ЛИЦО:</w:t>
            </w:r>
          </w:p>
        </w:tc>
        <w:tc>
          <w:tcPr>
            <w:tcW w:w="58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76" w:rsidRPr="00D36076" w:rsidTr="002029DD">
        <w:trPr>
          <w:trHeight w:val="300"/>
        </w:trPr>
        <w:tc>
          <w:tcPr>
            <w:tcW w:w="3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076" w:rsidRPr="00D36076" w:rsidTr="002029DD">
        <w:trPr>
          <w:gridAfter w:val="2"/>
          <w:wAfter w:w="976" w:type="dxa"/>
          <w:trHeight w:val="450"/>
        </w:trPr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6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ПРОВЕРЯЕМЫЙ ПЕРИОД:</w:t>
            </w:r>
          </w:p>
        </w:tc>
        <w:tc>
          <w:tcPr>
            <w:tcW w:w="58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076" w:rsidRPr="00D36076" w:rsidRDefault="00D36076" w:rsidP="00D3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36076" w:rsidRPr="00A377CA" w:rsidRDefault="00A377CA" w:rsidP="00A377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377C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Согласно требованиям МСА 240 «Обязанности аудитора в отношении недобросовестных действий при проведении аудита финансовой отчетности», при выявлении и оценке рисков существенного искажения аудитор должен оценить, свидетельствует ли полученная информация о присутствии факторов риска недобросовестных действий (п. 24 МСА 240).</w:t>
      </w:r>
    </w:p>
    <w:p w:rsidR="00A377CA" w:rsidRDefault="00A377CA" w:rsidP="00332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3252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Факторы риска недобросовестных действий – это события или обстоятельства, которые свидетельствуют о наличии «треугольника мошенничества» (стимул для совершения недобросовестных действий, возможность их совершения, способность их оправдания). Перечень факторов риска недобросовестных действий (заключающихся в фальсификации отчетности и в присвоении активов), классифицированных по трем причинам «треугольника мошенничества», приведен в Приложении 1 к МСА 240.</w:t>
      </w:r>
    </w:p>
    <w:p w:rsidR="004B2DF9" w:rsidRPr="004B2DF9" w:rsidRDefault="004B2DF9" w:rsidP="004B2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B2DF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Оценка наличия факторов риска недобросовестных действий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6953"/>
        <w:gridCol w:w="828"/>
        <w:gridCol w:w="724"/>
      </w:tblGrid>
      <w:tr w:rsidR="008E1643" w:rsidRPr="00EB4757" w:rsidTr="00D36076">
        <w:trPr>
          <w:trHeight w:val="269"/>
        </w:trPr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33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33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Факторы риска недобросовестных действий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33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</w:t>
            </w:r>
          </w:p>
        </w:tc>
      </w:tr>
      <w:tr w:rsidR="008E1643" w:rsidRPr="00EB4757" w:rsidTr="00D36076">
        <w:trPr>
          <w:trHeight w:val="2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33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33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33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33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</w:tr>
      <w:tr w:rsidR="008E1643" w:rsidRPr="00EB4757" w:rsidTr="00D36076">
        <w:trPr>
          <w:trHeight w:val="254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33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33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33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33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</w:tr>
      <w:tr w:rsidR="008E1643" w:rsidRPr="00EB4757" w:rsidTr="00D36076">
        <w:trPr>
          <w:trHeight w:val="259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Фальсификация финансовой отчетности</w:t>
            </w:r>
          </w:p>
        </w:tc>
      </w:tr>
      <w:tr w:rsidR="008E1643" w:rsidRPr="00EB4757" w:rsidTr="00D36076">
        <w:trPr>
          <w:trHeight w:val="259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Стимулы для совершения недобросовестных действий: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298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снижение доходности вследствие ситуации на рынке;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538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зависимость финансового благополучия руководства от результатов деятельности организации;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542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давление на руководство (со стороны собственников, инвесторов, кредиторов) в связи с завышенными ожиданиями;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259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254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312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Возможности совершения недобросовестных действий: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48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доминирующая позиция организации в каком-либо отраслевом сегменте;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283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недостаточная надежность внутреннего контроля;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283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совершение международных операций в разных юрисдикциях;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269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259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341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Способность оправдания недобросовестных действий: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278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1.3.1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низкое моральное состояние высшего руководства;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317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1.3.2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разногласия между собственниками;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48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1.3.3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отсутствие различий у руководителя-собственника между личными и коммерческими сделками;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259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1.3.4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D36076">
        <w:trPr>
          <w:trHeight w:val="269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1.3.5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8E1643" w:rsidRPr="00EB4757" w:rsidRDefault="008E1643" w:rsidP="008E16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7201"/>
        <w:gridCol w:w="907"/>
        <w:gridCol w:w="682"/>
      </w:tblGrid>
      <w:tr w:rsidR="008E1643" w:rsidRPr="00EB4757" w:rsidTr="002029DD">
        <w:trPr>
          <w:trHeight w:val="259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Незаконное присвоение активов</w:t>
            </w: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Стимулы для совершения недобросовестных действий:</w:t>
            </w: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ожидаемые увольнения работников;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о1 о</w:t>
            </w:r>
          </w:p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изменения в системе оплаты труда;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4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затруднительных жизненных или финансовых обстоятельств у сотрудников, имеющих доступ к активам;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32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9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Возможности совершения недобросовестных действий: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31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2АЛ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нерациональное распределение обязанностей и полномочий;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31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2А2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слабый контроль за работниками, ответственными за активы;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53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2А3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ненадежные меры защиты денежных средств, товарно-материальных ценностей;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2 2 4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Способность оправдания недобросовестных действий: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31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0 0 1 2.3.1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поведение работников, демонстрирующее недовольство организацией;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31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терпимость к мелким правонарушениям;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54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Коррупционные нарушения</w:t>
            </w: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Стимулы для совершения коррупционных нарушений:</w:t>
            </w:r>
          </w:p>
        </w:tc>
      </w:tr>
      <w:tr w:rsidR="008E1643" w:rsidRPr="00EB4757" w:rsidTr="002029DD">
        <w:trPr>
          <w:trHeight w:val="26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3.1.1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в странах или регионах с высоким уровнем коррупции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4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3.1.2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в отраслях с высокой степенью государственного регули</w:t>
            </w: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рования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93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3.1.3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осуществление операций с существенными суммами по </w:t>
            </w:r>
            <w:proofErr w:type="spellStart"/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госконтрактам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83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3.1.4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31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3.1.5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Возможности совершения коррупционных нарушений:</w:t>
            </w:r>
          </w:p>
        </w:tc>
      </w:tr>
      <w:tr w:rsidR="008E1643" w:rsidRPr="00EB4757" w:rsidTr="002029DD">
        <w:trPr>
          <w:trHeight w:val="4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3.2.1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необеспечение руководством соблюдения требований по противодей</w:t>
            </w: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ствию коррупции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48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3.2.2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отсутствие процедур внутреннего контроля, направленных на противо</w:t>
            </w: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действие коррупции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3.2.3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3.2.4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Способность оправдания коррупционных нарушений:</w:t>
            </w:r>
          </w:p>
        </w:tc>
      </w:tr>
      <w:tr w:rsidR="008E1643" w:rsidRPr="00EB4757" w:rsidTr="002029DD">
        <w:trPr>
          <w:trHeight w:val="4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3.3.1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позиция руководства, заключающаяся в оправдании коррупции вслед</w:t>
            </w: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ствие затрудненности осуществления деятельности законным образом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5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3.3.2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E1643" w:rsidRPr="00EB4757" w:rsidTr="002029DD">
        <w:trPr>
          <w:trHeight w:val="269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3.3.3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643" w:rsidRPr="00EB4757" w:rsidRDefault="008E1643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3B5F87" w:rsidRPr="004B2DF9" w:rsidRDefault="004B2DF9" w:rsidP="004B2DF9">
      <w:pPr>
        <w:jc w:val="both"/>
        <w:rPr>
          <w:rFonts w:ascii="Times New Roman" w:hAnsi="Times New Roman" w:cs="Times New Roman"/>
        </w:rPr>
      </w:pPr>
      <w:r>
        <w:t xml:space="preserve">При выявлении факторов риска недобросовестных действий аудитор осуществляет оценку рисков </w:t>
      </w:r>
      <w:r w:rsidRPr="004B2DF9">
        <w:rPr>
          <w:rFonts w:ascii="Times New Roman" w:hAnsi="Times New Roman" w:cs="Times New Roman"/>
        </w:rPr>
        <w:t>существенного искажения отчетности в результате недобросовестных действий.</w:t>
      </w:r>
    </w:p>
    <w:p w:rsidR="004B2DF9" w:rsidRPr="004B2DF9" w:rsidRDefault="004B2DF9" w:rsidP="004B2DF9">
      <w:pPr>
        <w:jc w:val="both"/>
        <w:rPr>
          <w:rFonts w:ascii="Times New Roman" w:hAnsi="Times New Roman" w:cs="Times New Roman"/>
        </w:rPr>
      </w:pPr>
      <w:r w:rsidRPr="004B2DF9">
        <w:rPr>
          <w:rFonts w:ascii="Times New Roman" w:hAnsi="Times New Roman" w:cs="Times New Roman"/>
        </w:rPr>
        <w:t xml:space="preserve">МСА 200 «Основные цели независимого аудитора и проведение аудита в соответствии с международными стандартами аудита» указывает, что оценка рисков может производиться в количественных величинах (например, в процентах) либо в терминах, не носящих количественного характера. </w:t>
      </w:r>
    </w:p>
    <w:p w:rsidR="004B2DF9" w:rsidRPr="004B2DF9" w:rsidRDefault="004B2DF9" w:rsidP="004B2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t>Анализ же содержания международных стандартов указывает на следующие возмож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>ные градации качественной оценки рисков:</w:t>
      </w:r>
    </w:p>
    <w:p w:rsidR="004B2DF9" w:rsidRPr="004B2DF9" w:rsidRDefault="004B2DF9" w:rsidP="004B2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t>приемлемо низкий риск (уровень ауди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>торского риска, при котором возможно по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>лучение достаточных надлежащих аудитор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>ских доказательств и, соответственно, раз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 xml:space="preserve">умное 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подтверждение достоверности отчет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>ности — МСА 200, п. 17; МСА 330, п. А43; МСА 500, п. А3);</w:t>
      </w:r>
    </w:p>
    <w:p w:rsidR="004B2DF9" w:rsidRPr="004B2DF9" w:rsidRDefault="004B2DF9" w:rsidP="004B2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t>низкий риск (уровень риска существен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>ного искажения, при котором применение со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>ответствующих мероприятий и дополнитель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>ных аудиторских процедур не является необ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>ходимым — МСА 330, п. 10; МСА 505, п. 15);</w:t>
      </w:r>
    </w:p>
    <w:p w:rsidR="004B2DF9" w:rsidRPr="004B2DF9" w:rsidRDefault="004B2DF9" w:rsidP="004B2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t>высокий риск (уровень риска суще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>ственного искажения, при котором необ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>ходимо применение соответствующих ме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 xml:space="preserve">роприятий и дополнительных аудиторских процедур — МСА 330, </w:t>
      </w:r>
      <w:proofErr w:type="spellStart"/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t>п.п</w:t>
      </w:r>
      <w:proofErr w:type="spellEnd"/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t>. А9, А19);</w:t>
      </w:r>
    </w:p>
    <w:p w:rsidR="004B2DF9" w:rsidRPr="004B2DF9" w:rsidRDefault="004B2DF9" w:rsidP="004B2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t>чрезмерно (крайне) высокий риск (уро</w:t>
      </w:r>
      <w:r w:rsidRPr="004B2DF9">
        <w:rPr>
          <w:rFonts w:ascii="Times New Roman" w:eastAsia="Times New Roman" w:hAnsi="Times New Roman" w:cs="Times New Roman"/>
          <w:color w:val="333333"/>
          <w:lang w:eastAsia="ru-RU"/>
        </w:rPr>
        <w:softHyphen/>
        <w:t>вень риска существенного искажения, при котором аудитор может прийти к выводу о невозможности проведения аудита — МСА 315, п. А120; МСА 580, п. А24).</w:t>
      </w:r>
    </w:p>
    <w:p w:rsidR="004B2DF9" w:rsidRPr="004B2DF9" w:rsidRDefault="004B2DF9" w:rsidP="004B2DF9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B2DF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Оценка риска существенного искажения вследствие недобросовестных действий на уровне отчетности в целом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5095"/>
        <w:gridCol w:w="1259"/>
        <w:gridCol w:w="1261"/>
        <w:gridCol w:w="1283"/>
      </w:tblGrid>
      <w:tr w:rsidR="004B2DF9" w:rsidRPr="00EB4757" w:rsidTr="002029DD">
        <w:trPr>
          <w:trHeight w:val="787"/>
        </w:trPr>
        <w:tc>
          <w:tcPr>
            <w:tcW w:w="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52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Обстоятельства, указывающие на риск существенного искажения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Оценка риска существенного искажения</w:t>
            </w:r>
          </w:p>
        </w:tc>
      </w:tr>
      <w:tr w:rsidR="004B2DF9" w:rsidRPr="00EB4757" w:rsidTr="002029DD">
        <w:trPr>
          <w:trHeight w:val="4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Чрезмерно высокий</w:t>
            </w:r>
          </w:p>
        </w:tc>
      </w:tr>
      <w:tr w:rsidR="004B2DF9" w:rsidRPr="00EB4757" w:rsidTr="002029DD">
        <w:trPr>
          <w:trHeight w:val="288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</w:tr>
      <w:tr w:rsidR="004B2DF9" w:rsidRPr="00EB4757" w:rsidTr="002029DD">
        <w:trPr>
          <w:trHeight w:val="509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Стремление руководства ограничить объем аудита или доступ аудитора к информации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509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Несвоевременность (задержка) предоставления ауди</w:t>
            </w: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тору запрашиваемой информации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48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Отрицательная реакция руководства на общение аудитора с работниками организации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48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Претензии руководства к проведению аудита и его результатам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696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Нежелание руководства принимать своевременные меры по устранению выявленных недостатков внутреннего контроля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49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информации о фактах коррупционных нарушений в организации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518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Внеплановые проверки организации со стороны госорганов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B2DF9" w:rsidRPr="004B2DF9" w:rsidRDefault="004B2DF9" w:rsidP="004B2D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159"/>
        <w:gridCol w:w="1240"/>
        <w:gridCol w:w="1245"/>
        <w:gridCol w:w="1250"/>
      </w:tblGrid>
      <w:tr w:rsidR="004B2DF9" w:rsidRPr="00EB4757" w:rsidTr="002029DD">
        <w:trPr>
          <w:trHeight w:val="71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Существенные суммы представительских расходов, возмещаемых работникам, взаимодействующими с должностными лицами заказчиков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701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Расходы на комиссионные (агентские) вознагражде</w:t>
            </w: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ния, существенно превышающие характерные значения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259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293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B2DF9" w:rsidRPr="004B2DF9" w:rsidRDefault="004B2DF9" w:rsidP="004B2DF9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4B2DF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Оценка риска существенного искажения вследствие недобросовестных действий на уровне видов операций, сальдо счетов, раскрытий информации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969"/>
        <w:gridCol w:w="1567"/>
        <w:gridCol w:w="937"/>
        <w:gridCol w:w="1097"/>
        <w:gridCol w:w="1236"/>
      </w:tblGrid>
      <w:tr w:rsidR="004B2DF9" w:rsidRPr="00EB4757" w:rsidTr="002029DD">
        <w:trPr>
          <w:trHeight w:val="485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4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Обстоятельства, указывающие на риск существенного искажения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операций, сальдо счета</w:t>
            </w:r>
          </w:p>
        </w:tc>
        <w:tc>
          <w:tcPr>
            <w:tcW w:w="3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Оценка риска существенного искажения</w:t>
            </w:r>
          </w:p>
        </w:tc>
      </w:tr>
      <w:tr w:rsidR="004B2DF9" w:rsidRPr="00EB4757" w:rsidTr="002029DD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Чрезмерно высокий</w:t>
            </w:r>
          </w:p>
        </w:tc>
      </w:tr>
      <w:tr w:rsidR="004B2DF9" w:rsidRPr="00EB4757" w:rsidTr="002029DD">
        <w:trPr>
          <w:trHeight w:val="25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4B2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4B2DF9" w:rsidRPr="00EB4757" w:rsidTr="002029DD">
        <w:trPr>
          <w:trHeight w:val="528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неподтвержденных (несанкционированных) операций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50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операций, учтенных ненадлежащим образом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331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ненадлежащих корректировок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48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Отсутствие документов по каким-либо операциям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696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Нетипичные расхождения между учтен</w:t>
            </w: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ными документами и ответами на запро</w:t>
            </w: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сы аудитора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701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Излишне осложненное осуществление каких-либо операций (например, через ряд посредников)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91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Привлечение к выполнению определен</w:t>
            </w: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ных операций лиц, не имеющих возмож</w:t>
            </w: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ностей (производственных, финансовых) для такого участия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48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Осуществление операций разового характера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49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Избыточное внимание руководства к каким-либо операциям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48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Необычно крупные операции в конце года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25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Неофициальный учет каких-либо операций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701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Осуществление каких-либо операций не в соответствии с установленным в организации порядком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696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сделок с лицами, зарегистриро</w:t>
            </w: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ванными в юрисдикциях с низкими уровнями налогообложения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2029DD">
        <w:trPr>
          <w:trHeight w:val="931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сделок с лицами, которые могут быть аффилированы с должностными лицами государственных организаций (госорганов)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B2DF9" w:rsidRPr="004B2DF9" w:rsidRDefault="004B2DF9" w:rsidP="004B2D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333333"/>
          <w:sz w:val="19"/>
          <w:szCs w:val="19"/>
          <w:lang w:eastAsia="ru-RU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975"/>
        <w:gridCol w:w="1560"/>
        <w:gridCol w:w="992"/>
        <w:gridCol w:w="992"/>
        <w:gridCol w:w="1276"/>
      </w:tblGrid>
      <w:tr w:rsidR="004B2DF9" w:rsidRPr="00EB4757" w:rsidTr="00321194">
        <w:trPr>
          <w:trHeight w:val="70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Неоправданное отсутствие мер по воз</w:t>
            </w: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врату займов, авансов, просроченной задолженности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321194">
        <w:trPr>
          <w:trHeight w:val="50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Нетипичные выплаты компенсационного характера сторонним лицам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321194">
        <w:trPr>
          <w:trHeight w:val="69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Заключение контрактов на существен</w:t>
            </w: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ные суммы не в соответствии с общим порядком (конкурсы, тендеры)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321194">
        <w:trPr>
          <w:trHeight w:val="33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2DF9" w:rsidRPr="00EB4757" w:rsidTr="00321194">
        <w:trPr>
          <w:trHeight w:val="30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47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DF9" w:rsidRPr="00EB4757" w:rsidRDefault="004B2DF9" w:rsidP="0020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8238A0" w:rsidRPr="008238A0" w:rsidRDefault="008238A0" w:rsidP="008238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t>Дополнительные мероприятия по про</w:t>
      </w: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softHyphen/>
        <w:t>тиводействию выявленному риску (процедуры общего характера) осуществляются аудитором при выявлении высокого риска существенного искажения на уровне фи</w:t>
      </w: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softHyphen/>
        <w:t>нансовой отчетности в целом. Эти меро</w:t>
      </w: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softHyphen/>
        <w:t>приятия могут включать:</w:t>
      </w:r>
    </w:p>
    <w:p w:rsidR="008238A0" w:rsidRPr="008238A0" w:rsidRDefault="008238A0" w:rsidP="008238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t>привлечение более опытных аудиторов;</w:t>
      </w:r>
    </w:p>
    <w:p w:rsidR="008238A0" w:rsidRPr="008238A0" w:rsidRDefault="008238A0" w:rsidP="008238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t>привлечение экспертов;</w:t>
      </w:r>
    </w:p>
    <w:p w:rsidR="008238A0" w:rsidRPr="008238A0" w:rsidRDefault="008238A0" w:rsidP="008238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t>увеличение элементов непредсказуе</w:t>
      </w: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softHyphen/>
        <w:t>мости при выборе последующих аудитор</w:t>
      </w: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softHyphen/>
        <w:t>ских процедур;</w:t>
      </w:r>
    </w:p>
    <w:p w:rsidR="008238A0" w:rsidRPr="008238A0" w:rsidRDefault="008238A0" w:rsidP="008238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t>осуществление более тщательного кон</w:t>
      </w: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softHyphen/>
        <w:t>троля со стороны руководителя проверки за членами аудиторской команды;</w:t>
      </w:r>
    </w:p>
    <w:p w:rsidR="008238A0" w:rsidRPr="008238A0" w:rsidRDefault="008238A0" w:rsidP="008238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t>снижение уровней существенности для отчетности в целом.</w:t>
      </w:r>
    </w:p>
    <w:p w:rsidR="008238A0" w:rsidRPr="008238A0" w:rsidRDefault="008238A0" w:rsidP="008238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t xml:space="preserve">Известно (на это указывает МСА 520, п. А16), что снижение уровня существенности снижает риск </w:t>
      </w:r>
      <w:proofErr w:type="spellStart"/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t>необнаружения</w:t>
      </w:r>
      <w:proofErr w:type="spellEnd"/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t xml:space="preserve">. Уменьшение риска </w:t>
      </w:r>
      <w:proofErr w:type="spellStart"/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t>необнаружения</w:t>
      </w:r>
      <w:proofErr w:type="spellEnd"/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t xml:space="preserve"> при снижении уровня существенности обуслов</w:t>
      </w: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softHyphen/>
        <w:t xml:space="preserve">лено, в частности, тем обстоятельством, что </w:t>
      </w:r>
      <w:proofErr w:type="spellStart"/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t>необнаружения</w:t>
      </w:r>
      <w:proofErr w:type="spellEnd"/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t xml:space="preserve"> аудитором различных суще</w:t>
      </w: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softHyphen/>
        <w:t xml:space="preserve">ственных </w:t>
      </w: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искажений — события независи</w:t>
      </w: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softHyphen/>
        <w:t>мые. Очевидно, что чем больше количество независимых событий, тем меньше вероят</w:t>
      </w:r>
      <w:r w:rsidRPr="008238A0">
        <w:rPr>
          <w:rFonts w:ascii="Times New Roman" w:eastAsia="Times New Roman" w:hAnsi="Times New Roman" w:cs="Times New Roman"/>
          <w:color w:val="333333"/>
          <w:lang w:eastAsia="ru-RU"/>
        </w:rPr>
        <w:softHyphen/>
        <w:t>ность одновременного их появления.</w:t>
      </w:r>
    </w:p>
    <w:p w:rsidR="004B2DF9" w:rsidRDefault="004B2DF9"/>
    <w:p w:rsidR="00D36076" w:rsidRDefault="00D36076"/>
    <w:p w:rsidR="00D36076" w:rsidRPr="00071281" w:rsidRDefault="00D36076" w:rsidP="00D36076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071281">
        <w:rPr>
          <w:rFonts w:ascii="Times New Roman" w:eastAsia="Times New Roman" w:hAnsi="Times New Roman" w:cs="Times New Roman"/>
        </w:rPr>
        <w:t>Исполнил _______________________________________________ (подпись или обозначение)</w:t>
      </w:r>
    </w:p>
    <w:p w:rsidR="00D36076" w:rsidRPr="00071281" w:rsidRDefault="00D36076" w:rsidP="00D36076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071281">
        <w:rPr>
          <w:rFonts w:ascii="Times New Roman" w:eastAsia="Times New Roman" w:hAnsi="Times New Roman" w:cs="Times New Roman"/>
        </w:rPr>
        <w:t>Дата___________________________</w:t>
      </w:r>
    </w:p>
    <w:p w:rsidR="00D36076" w:rsidRPr="00071281" w:rsidRDefault="00D36076" w:rsidP="00D36076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D36076" w:rsidRPr="00071281" w:rsidRDefault="00D36076" w:rsidP="00D36076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D36076" w:rsidRPr="00071281" w:rsidRDefault="00D36076" w:rsidP="00D36076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071281">
        <w:rPr>
          <w:rFonts w:ascii="Times New Roman" w:eastAsia="Times New Roman" w:hAnsi="Times New Roman" w:cs="Times New Roman"/>
        </w:rPr>
        <w:t>Проверил________________________________________________ (подпись или обозначение)</w:t>
      </w:r>
    </w:p>
    <w:p w:rsidR="00D36076" w:rsidRPr="00071281" w:rsidRDefault="00D36076" w:rsidP="00D36076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D36076" w:rsidRPr="00071281" w:rsidRDefault="00D36076" w:rsidP="00D36076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071281">
        <w:rPr>
          <w:rFonts w:ascii="Times New Roman" w:eastAsia="Times New Roman" w:hAnsi="Times New Roman" w:cs="Times New Roman"/>
        </w:rPr>
        <w:t>Дата___________________________</w:t>
      </w:r>
    </w:p>
    <w:p w:rsidR="00D36076" w:rsidRPr="00071281" w:rsidRDefault="00D36076"/>
    <w:sectPr w:rsidR="00D36076" w:rsidRPr="0007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2DE4"/>
    <w:multiLevelType w:val="multilevel"/>
    <w:tmpl w:val="832C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06541"/>
    <w:multiLevelType w:val="multilevel"/>
    <w:tmpl w:val="6EB0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140F8"/>
    <w:multiLevelType w:val="multilevel"/>
    <w:tmpl w:val="6F02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C6DD8"/>
    <w:multiLevelType w:val="multilevel"/>
    <w:tmpl w:val="6B32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43"/>
    <w:rsid w:val="00071281"/>
    <w:rsid w:val="00321194"/>
    <w:rsid w:val="00332529"/>
    <w:rsid w:val="003B5F87"/>
    <w:rsid w:val="004B2DF9"/>
    <w:rsid w:val="006325FC"/>
    <w:rsid w:val="008238A0"/>
    <w:rsid w:val="008E1643"/>
    <w:rsid w:val="00A377CA"/>
    <w:rsid w:val="00BC2424"/>
    <w:rsid w:val="00D3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082BC-E1EC-4D13-844B-3C787719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2020-04-25T08:27:00Z</dcterms:created>
  <dcterms:modified xsi:type="dcterms:W3CDTF">2020-04-25T10:44:00Z</dcterms:modified>
</cp:coreProperties>
</file>