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02830" w14:textId="77777777" w:rsidR="00E10E30" w:rsidRPr="00E10E30" w:rsidRDefault="00E10E30" w:rsidP="00E10E3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ОТВЕЧАЕМ НА ВОПРОСЫ ПО МЕЖДУНАРОДНЫМ СТАНДАРТАМ АУДИТОРСКОЙ ДЕЯТЕЛЬНОСТИ</w:t>
      </w:r>
    </w:p>
    <w:p w14:paraId="3A82693E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80C4504" w14:textId="77777777" w:rsidR="00E10E30" w:rsidRPr="00E10E30" w:rsidRDefault="00E10E30" w:rsidP="00E10E30">
      <w:pPr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В.Н.ЛЕМЕШ,</w:t>
      </w:r>
    </w:p>
    <w:p w14:paraId="49C08DF5" w14:textId="77777777" w:rsidR="00E10E30" w:rsidRPr="00E10E30" w:rsidRDefault="00E10E30" w:rsidP="00E10E30">
      <w:pPr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Аудиторской палаты</w:t>
      </w:r>
    </w:p>
    <w:p w14:paraId="7B12D23B" w14:textId="77777777" w:rsidR="00E10E30" w:rsidRPr="00E10E30" w:rsidRDefault="00E10E30" w:rsidP="00E10E30">
      <w:pPr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</w:t>
      </w:r>
    </w:p>
    <w:p w14:paraId="1C1826A9" w14:textId="77777777" w:rsidR="00E10E30" w:rsidRPr="00E10E30" w:rsidRDefault="00E10E30" w:rsidP="00E10E30">
      <w:pPr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58FD35F" w14:textId="77777777" w:rsidR="00E10E30" w:rsidRPr="00E10E30" w:rsidRDefault="00E10E30" w:rsidP="00E10E30">
      <w:pPr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с использованием</w:t>
      </w:r>
    </w:p>
    <w:p w14:paraId="59ACC345" w14:textId="77777777" w:rsidR="00E10E30" w:rsidRPr="00E10E30" w:rsidRDefault="00E10E30" w:rsidP="00E10E30">
      <w:pPr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по состоянию</w:t>
      </w:r>
      <w:bookmarkStart w:id="0" w:name="_GoBack"/>
      <w:bookmarkEnd w:id="0"/>
    </w:p>
    <w:p w14:paraId="53CC0D26" w14:textId="77777777" w:rsidR="00E10E30" w:rsidRPr="00E10E30" w:rsidRDefault="00E10E30" w:rsidP="00E10E30">
      <w:pPr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9 сентября 2020 г.</w:t>
      </w:r>
    </w:p>
    <w:p w14:paraId="562157E6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835FE60" w14:textId="3FF85B5F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1 июля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2020</w:t>
      </w:r>
      <w:r w:rsidRPr="00E10E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года в Беларуси постановлением Совмина N 308 в качестве ТНПА введены Международные стандарты аудиторской деятельности и Кодекс этики профессиональных бухгалтеров (далее - Кодекс этики). В материале рассматривается необходимость введения МСА, кто и как часто разрабатывает стандарты, каковы их цели, как они группируются и кодируются.</w:t>
      </w:r>
    </w:p>
    <w:p w14:paraId="2A6C9154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20FFEF0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чем заключается необходимость введения стандартов аудиторской деятельности в Беларуси</w:t>
      </w:r>
    </w:p>
    <w:p w14:paraId="5AB3F23C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60D8B7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Беларусь, находясь в центре Европы, активно взаимодействует с иностранными инвесторами и партнерами по бизнесу. В международной практике для единообразного понимания финансовой отчетности применяются Международные стандарты финансовой отчетности, выпускаемые Советом по международным стандартам финансовой отчетности (далее соответственно - МСФО и СМСФО). Для повышения доверия к представляемой финансовой отчетности она подтверждается независимыми специалистами - аудиторами. При этом Международные стандарты аудита (далее - МСА) и МСФО взаимосвязаны (табл. 1).</w:t>
      </w:r>
    </w:p>
    <w:p w14:paraId="5266B40E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916532E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14:paraId="7881DA3C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9E176D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Взаимосвязь МСА и МСФО</w:t>
      </w:r>
    </w:p>
    <w:p w14:paraId="53F56C2A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E10E30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4"/>
        <w:gridCol w:w="5566"/>
      </w:tblGrid>
      <w:tr w:rsidR="00E10E30" w:rsidRPr="00E10E30" w14:paraId="7401DDDE" w14:textId="77777777" w:rsidTr="00E10E30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43709C" w14:textId="77777777" w:rsidR="00E10E30" w:rsidRPr="00E10E30" w:rsidRDefault="00E10E30" w:rsidP="00E10E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30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 МСА</w:t>
            </w:r>
          </w:p>
        </w:tc>
        <w:tc>
          <w:tcPr>
            <w:tcW w:w="112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43D2FB" w14:textId="77777777" w:rsidR="00E10E30" w:rsidRPr="00E10E30" w:rsidRDefault="00E10E30" w:rsidP="00E10E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30">
              <w:rPr>
                <w:rFonts w:ascii="Times New Roman" w:eastAsia="Times New Roman" w:hAnsi="Times New Roman" w:cs="Times New Roman"/>
                <w:lang w:eastAsia="ru-RU"/>
              </w:rPr>
              <w:t>Содержание ссылки на документы, разработанные СМСФО</w:t>
            </w:r>
          </w:p>
        </w:tc>
      </w:tr>
      <w:tr w:rsidR="00E10E30" w:rsidRPr="00E10E30" w14:paraId="4EBC2EA7" w14:textId="77777777" w:rsidTr="00E10E30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98311" w14:textId="77777777" w:rsidR="00E10E30" w:rsidRPr="00E10E30" w:rsidRDefault="00E10E30" w:rsidP="00E10E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30">
              <w:rPr>
                <w:rFonts w:ascii="Times New Roman" w:eastAsia="Times New Roman" w:hAnsi="Times New Roman" w:cs="Times New Roman"/>
                <w:lang w:eastAsia="ru-RU"/>
              </w:rPr>
              <w:t>МСА 200 "Основные цели независимого аудитора и проведение аудита в соответствии с Международными стандартами аудита"</w:t>
            </w:r>
          </w:p>
        </w:tc>
        <w:tc>
          <w:tcPr>
            <w:tcW w:w="112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5C891" w14:textId="77777777" w:rsidR="00E10E30" w:rsidRPr="00E10E30" w:rsidRDefault="00E10E30" w:rsidP="00E10E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30">
              <w:rPr>
                <w:rFonts w:ascii="Times New Roman" w:eastAsia="Times New Roman" w:hAnsi="Times New Roman" w:cs="Times New Roman"/>
                <w:lang w:eastAsia="ru-RU"/>
              </w:rPr>
              <w:t>В качестве основ финансовой отчетности, которым должна соответствовать проверяемая информация, первыми названы МСФО, а также Международные стандарты финансовой отчетности для организаций государственного сектора (МСФГОС) (п. А7, А8 МСА 200)</w:t>
            </w:r>
          </w:p>
        </w:tc>
      </w:tr>
      <w:tr w:rsidR="00E10E30" w:rsidRPr="00E10E30" w14:paraId="1DC794AB" w14:textId="77777777" w:rsidTr="00E10E30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69D8D" w14:textId="77777777" w:rsidR="00E10E30" w:rsidRPr="00E10E30" w:rsidRDefault="00E10E30" w:rsidP="00E10E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МСА 210 "Согласование условий аудиторских заданий"</w:t>
            </w:r>
          </w:p>
        </w:tc>
        <w:tc>
          <w:tcPr>
            <w:tcW w:w="112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6FEBE" w14:textId="77777777" w:rsidR="00E10E30" w:rsidRPr="00E10E30" w:rsidRDefault="00E10E30" w:rsidP="00E10E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30">
              <w:rPr>
                <w:rFonts w:ascii="Times New Roman" w:eastAsia="Times New Roman" w:hAnsi="Times New Roman" w:cs="Times New Roman"/>
                <w:lang w:eastAsia="ru-RU"/>
              </w:rPr>
              <w:t>При рассмотрении концепций подготовки финансовой отчетности общего назначения делаются ссылки на МСФО и Международные стандарты финансовой отчетности для организаций общественного сектора (МСФООС) (абз. 2 и 3 ч. 1 п. А8, приложение 1 МСА 210)</w:t>
            </w:r>
          </w:p>
        </w:tc>
      </w:tr>
      <w:tr w:rsidR="00E10E30" w:rsidRPr="00E10E30" w14:paraId="7BF5548F" w14:textId="77777777" w:rsidTr="00E10E30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F2F34" w14:textId="77777777" w:rsidR="00E10E30" w:rsidRPr="00E10E30" w:rsidRDefault="00E10E30" w:rsidP="00E10E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30">
              <w:rPr>
                <w:rFonts w:ascii="Times New Roman" w:eastAsia="Times New Roman" w:hAnsi="Times New Roman" w:cs="Times New Roman"/>
                <w:lang w:eastAsia="ru-RU"/>
              </w:rPr>
              <w:t>МСА 320 "Существенность при планировании и проведении аудита"</w:t>
            </w:r>
          </w:p>
        </w:tc>
        <w:tc>
          <w:tcPr>
            <w:tcW w:w="112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29184" w14:textId="77777777" w:rsidR="00E10E30" w:rsidRPr="00E10E30" w:rsidRDefault="00E10E30" w:rsidP="00E10E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30">
              <w:rPr>
                <w:rFonts w:ascii="Times New Roman" w:eastAsia="Times New Roman" w:hAnsi="Times New Roman" w:cs="Times New Roman"/>
                <w:lang w:eastAsia="ru-RU"/>
              </w:rPr>
              <w:t>Суждение о вопросах, существенных для пользователей финансовой отчетности, определено в соответствии с Концепцией подготовки и представления финансовой отчетности, принятой Советом по МСФО в апреле 2001 г.</w:t>
            </w:r>
          </w:p>
        </w:tc>
      </w:tr>
      <w:tr w:rsidR="00E10E30" w:rsidRPr="00E10E30" w14:paraId="5ACE5D0C" w14:textId="77777777" w:rsidTr="00E10E30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9E977" w14:textId="77777777" w:rsidR="00E10E30" w:rsidRPr="00E10E30" w:rsidRDefault="00E10E30" w:rsidP="00E10E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30">
              <w:rPr>
                <w:rFonts w:ascii="Times New Roman" w:eastAsia="Times New Roman" w:hAnsi="Times New Roman" w:cs="Times New Roman"/>
                <w:lang w:eastAsia="ru-RU"/>
              </w:rPr>
              <w:t>МСА 450 "Оценка искажений, выявленных в ходе аудита"</w:t>
            </w:r>
          </w:p>
        </w:tc>
        <w:tc>
          <w:tcPr>
            <w:tcW w:w="112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E22EB" w14:textId="77777777" w:rsidR="00E10E30" w:rsidRPr="00E10E30" w:rsidRDefault="00E10E30" w:rsidP="00E10E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30">
              <w:rPr>
                <w:rFonts w:ascii="Times New Roman" w:eastAsia="Times New Roman" w:hAnsi="Times New Roman" w:cs="Times New Roman"/>
                <w:lang w:eastAsia="ru-RU"/>
              </w:rPr>
              <w:t>При рассмотрении примеров применения приводятся МСФО 7 "Финансовые инструменты: раскрытие информации" и МСФО 1 "Представление финансовой отчетности" (подстрочное примечание &lt;6&gt; и &lt;7&gt; к МСА 450)</w:t>
            </w:r>
          </w:p>
        </w:tc>
      </w:tr>
      <w:tr w:rsidR="00E10E30" w:rsidRPr="00E10E30" w14:paraId="56224D55" w14:textId="77777777" w:rsidTr="00E10E30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480BB" w14:textId="77777777" w:rsidR="00E10E30" w:rsidRPr="00E10E30" w:rsidRDefault="00E10E30" w:rsidP="00E10E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30">
              <w:rPr>
                <w:rFonts w:ascii="Times New Roman" w:eastAsia="Times New Roman" w:hAnsi="Times New Roman" w:cs="Times New Roman"/>
                <w:lang w:eastAsia="ru-RU"/>
              </w:rPr>
              <w:t>МСА 540 "Аудит оценочных значений, включая оценку справедливой стоимости, и соответствующего раскрытия информации"</w:t>
            </w:r>
          </w:p>
        </w:tc>
        <w:tc>
          <w:tcPr>
            <w:tcW w:w="112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B6AF0" w14:textId="77777777" w:rsidR="00E10E30" w:rsidRPr="00E10E30" w:rsidRDefault="00E10E30" w:rsidP="00E10E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30">
              <w:rPr>
                <w:rFonts w:ascii="Times New Roman" w:eastAsia="Times New Roman" w:hAnsi="Times New Roman" w:cs="Times New Roman"/>
                <w:lang w:eastAsia="ru-RU"/>
              </w:rPr>
              <w:t>В приложении "Оценка справедливой стоимости и раскрытие информации при применении разных концепций подготовки финансовой отчетности" дается прямая ссылка на МСФО 39 "Финансовые инструменты: признание и оценка" (подстрочное примечание &lt;1&gt; к приложению МСА 540)</w:t>
            </w:r>
          </w:p>
        </w:tc>
      </w:tr>
      <w:tr w:rsidR="00E10E30" w:rsidRPr="00E10E30" w14:paraId="1DD38367" w14:textId="77777777" w:rsidTr="00E10E30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D8F0A" w14:textId="77777777" w:rsidR="00E10E30" w:rsidRPr="00E10E30" w:rsidRDefault="00E10E30" w:rsidP="00E10E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30">
              <w:rPr>
                <w:rFonts w:ascii="Times New Roman" w:eastAsia="Times New Roman" w:hAnsi="Times New Roman" w:cs="Times New Roman"/>
                <w:lang w:eastAsia="ru-RU"/>
              </w:rPr>
              <w:t>МСА 560 "События после отчетной даты"</w:t>
            </w:r>
          </w:p>
        </w:tc>
        <w:tc>
          <w:tcPr>
            <w:tcW w:w="112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578AE" w14:textId="77777777" w:rsidR="00E10E30" w:rsidRPr="00E10E30" w:rsidRDefault="00E10E30" w:rsidP="00E10E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30">
              <w:rPr>
                <w:rFonts w:ascii="Times New Roman" w:eastAsia="Times New Roman" w:hAnsi="Times New Roman" w:cs="Times New Roman"/>
                <w:lang w:eastAsia="ru-RU"/>
              </w:rPr>
              <w:t>Приводится ссылка на МСФО 10 "События после отчетной даты" в отношении раскрытия информации о благоприятных и неблагоприятных событиях, которые происходят между датой финансовой отчетности и датой утверждения финансовой отчетности к публикации (подстрочное примечание &lt;2&gt; к МСА 560)</w:t>
            </w:r>
          </w:p>
        </w:tc>
      </w:tr>
      <w:tr w:rsidR="00E10E30" w:rsidRPr="00E10E30" w14:paraId="28691865" w14:textId="77777777" w:rsidTr="00E10E30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4D83D" w14:textId="77777777" w:rsidR="00E10E30" w:rsidRPr="00E10E30" w:rsidRDefault="00E10E30" w:rsidP="00E10E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30">
              <w:rPr>
                <w:rFonts w:ascii="Times New Roman" w:eastAsia="Times New Roman" w:hAnsi="Times New Roman" w:cs="Times New Roman"/>
                <w:lang w:eastAsia="ru-RU"/>
              </w:rPr>
              <w:t>МСА 570 (пересмотренный) "Непрерывность деятельности"</w:t>
            </w:r>
          </w:p>
        </w:tc>
        <w:tc>
          <w:tcPr>
            <w:tcW w:w="112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8837C" w14:textId="77777777" w:rsidR="00E10E30" w:rsidRPr="00E10E30" w:rsidRDefault="00E10E30" w:rsidP="00E10E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30">
              <w:rPr>
                <w:rFonts w:ascii="Times New Roman" w:eastAsia="Times New Roman" w:hAnsi="Times New Roman" w:cs="Times New Roman"/>
                <w:lang w:eastAsia="ru-RU"/>
              </w:rPr>
              <w:t>Использование допущения непрерывности деятельности предусмотрено МСФО 1 "Представление финансовой отчетности" (там же дано определение понятия "существенная неопределенность") и МСФООС 1 "Представление финансовой отчетности" (подстрочное примечание &lt;1&gt; к п. 3, подстрочное примечание &lt;9&gt; к А2 МСА 570)</w:t>
            </w:r>
          </w:p>
        </w:tc>
      </w:tr>
      <w:tr w:rsidR="00E10E30" w:rsidRPr="00E10E30" w14:paraId="361AE6E6" w14:textId="77777777" w:rsidTr="00E10E30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9A757" w14:textId="77777777" w:rsidR="00E10E30" w:rsidRPr="00E10E30" w:rsidRDefault="00E10E30" w:rsidP="00E10E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30">
              <w:rPr>
                <w:rFonts w:ascii="Times New Roman" w:eastAsia="Times New Roman" w:hAnsi="Times New Roman" w:cs="Times New Roman"/>
                <w:lang w:eastAsia="ru-RU"/>
              </w:rPr>
              <w:t>МСА 700 (пересмотренный) "Формирование мнения и составление заключения о финансовой отчетности"</w:t>
            </w:r>
          </w:p>
        </w:tc>
        <w:tc>
          <w:tcPr>
            <w:tcW w:w="112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5ADD7" w14:textId="77777777" w:rsidR="00E10E30" w:rsidRPr="00E10E30" w:rsidRDefault="00E10E30" w:rsidP="00E10E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30">
              <w:rPr>
                <w:rFonts w:ascii="Times New Roman" w:eastAsia="Times New Roman" w:hAnsi="Times New Roman" w:cs="Times New Roman"/>
                <w:lang w:eastAsia="ru-RU"/>
              </w:rPr>
              <w:t>Ссылка на МСФО в настоящем стандарте означает МСФО, выпущенные СМСФО, а ссылка на Международные стандарты финансовой отчетности для организаций общественного сектора означает Международные стандарты финансовой отчетности для организаций общественного сектора (МСФООС), выпущенные СМСФО для организаций общественного сектора (п. 9 МСА 700)</w:t>
            </w:r>
          </w:p>
        </w:tc>
      </w:tr>
    </w:tbl>
    <w:p w14:paraId="4118DE92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E10E30">
        <w:rPr>
          <w:rFonts w:ascii="Times New Roman" w:eastAsia="Times New Roman" w:hAnsi="Times New Roman" w:cs="Times New Roman"/>
          <w:lang w:eastAsia="ru-RU"/>
        </w:rPr>
        <w:t> </w:t>
      </w:r>
    </w:p>
    <w:p w14:paraId="721F58C8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в нашей стране МСФО введены с 01.01.2017 постановлением Совмина и Нацбанка N 657/20, появилась </w:t>
      </w: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необходимость по аналогии с международной практикой принять Международные стандарты аудиторской деятельности.</w:t>
      </w:r>
    </w:p>
    <w:p w14:paraId="379DF761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2280E7E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разрабатывает стандарты аудиторской деятельности</w:t>
      </w:r>
    </w:p>
    <w:p w14:paraId="15C0D1D7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13EE552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международном уровне координация деятельности профессиональных организаций в области бухгалтерского учета, финансовой отчетности и аудита осуществляется Международной федерацией бухгалтеров (International Federation of Accountants (далее - МФБ)).</w:t>
      </w:r>
    </w:p>
    <w:p w14:paraId="04F047D2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МФБ была создана в 1977 г. В настоящее время это всемирная организация, объединяющая профессиональных бухгалтеров. Для реализации своей миссии в сфере аудиторской деятельности МФБ в 1978 г. был создан Совет по международным стандартам аудита и обеспечению уверенности (International Auditing and Assurance Standards Board (IAASB)) (далее - Совет). Первоначальное название данного органа - Комитет по международной аудиторской практике (International Auditing Practices Committee) (Сборник Международных стандартов контроля качества, аудита, обзорных проверок, прочих заданий, обеспечивающих уверенность, и заданий по оказанию сопутствующих услуг (том I), издание 2015 г.).</w:t>
      </w:r>
    </w:p>
    <w:p w14:paraId="10FFEC47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аудита, разрабатываемые Советом, содержат основные принципы, общие требования, предъявляемые к проведению аудита и аудиторам, соответствующие рекомендации, представленные в форме пояснительного материала. Совет издает сборник документов, регулирующих профессиональную деятельность аудиторских организаций, - Международные стандарты по контролю качества, аудиту, обзорным проверкам и другим услугам по заданиям, связанным с обеспечением уверенности, и сопутствующим услугам (Handbook of international quality control, auditing, review, other assurance, and related services pronouncements) (Сборник Международных стандартов контроля качества, аудита, обзорных проверок, прочих заданий, обеспечивающих уверенность, и заданий по оказанию сопутствующих услуг (том I), издание 2015 г.).</w:t>
      </w:r>
    </w:p>
    <w:p w14:paraId="451820FB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9B61812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международные стандарты аудиторской деятельности разработаны</w:t>
      </w:r>
    </w:p>
    <w:p w14:paraId="69C6510A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81FD90D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систему международных стандартов аудиторской деятельности входят:</w:t>
      </w:r>
    </w:p>
    <w:p w14:paraId="78D6C18E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Международные стандарты контроля качества (далее - МСКК);</w:t>
      </w:r>
    </w:p>
    <w:p w14:paraId="61CC4BE9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Международные стандарты аудита (далее - МСА);</w:t>
      </w:r>
    </w:p>
    <w:p w14:paraId="75891610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Международные стандарты обзорных проверок (далее - МСОП);</w:t>
      </w:r>
    </w:p>
    <w:p w14:paraId="27205DA6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Международные стандарты заданий, обеспечивающих уверенность (далее - МСЗОУ);</w:t>
      </w:r>
    </w:p>
    <w:p w14:paraId="1FB56A45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Международные стандарты сопутствующих аудиту услуг (далее - МССУ);</w:t>
      </w:r>
    </w:p>
    <w:p w14:paraId="0DBA9F0E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Международные отчеты о практике аудита (далее - МОПА);</w:t>
      </w:r>
    </w:p>
    <w:p w14:paraId="4B748239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FB4B001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унификации подходов и избежания возможных разночтений МФБ принят глоссарий терминов. Данный документ приводит термины и их определения, применяемые не только в аудите, но и в МСФО (Сборник Международных стандартов контроля качества, аудита, обзорных проверок, прочих заданий, обеспечивающих уверенность, и заданий по оказанию сопутствующих услуг (том I), издание 2015 г.).</w:t>
      </w:r>
    </w:p>
    <w:p w14:paraId="61D0F466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3CC552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применительно к аудиторской деятельности стандарты - это свод (набор) общепринятых требований, которые формируют единые базовые нормативные требования к качеству и надежности аудита, обеспечивающие при их соблюдении определенный уровень гарантии результатов оказанной услуги. Стандарты определяют общий подход к проведению аудита, масштабам аудиторской проверки, виды отчетов аудиторов, вопросы методологии, базовые принципы, которым должны следовать все представители данной профессии независимо от условий, в которых проводится аудит (Сборник Международных стандартов контроля качества, аудита, обзорных проверок, прочих заданий, обеспечивающих уверенность, и заданий по оказанию сопутствующих услуг (том I), издание 2015 г.).</w:t>
      </w:r>
    </w:p>
    <w:p w14:paraId="3E6AB394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стандартов позволяет регулировать аудиторскую деятельность с учетом тенденций ее развития в международном масштабе, специфики нормативного правового регулирования хозяйственной деятельности и аудита на уровне отдельного государства, а также методик, применяемых аудиторами и аудиторскими организациями.</w:t>
      </w:r>
    </w:p>
    <w:p w14:paraId="1E7817F9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03C71D2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Какова цель стандартов аудиторской деятельности</w:t>
      </w:r>
    </w:p>
    <w:p w14:paraId="29E727E8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3F2C5FA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стандарты аудиторской деятельности предназначены для применения при аудите финансовой отчетности прошедших периодов, составленной в соответствии с МСФО, но их можно адаптировать и для аудита другой информации и оказания сопутствующих услуг.</w:t>
      </w:r>
    </w:p>
    <w:p w14:paraId="33A1CFC1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МСА содержат:</w:t>
      </w:r>
    </w:p>
    <w:p w14:paraId="61ABE0F9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принципы;</w:t>
      </w:r>
    </w:p>
    <w:p w14:paraId="19E2A3B3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необходимые процедуры;</w:t>
      </w:r>
    </w:p>
    <w:p w14:paraId="26AECB71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рекомендации по применению принципов и процедур.</w:t>
      </w:r>
    </w:p>
    <w:p w14:paraId="1ABF777C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 единство структуры стандартов.</w:t>
      </w:r>
    </w:p>
    <w:p w14:paraId="3E5783D3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МСА включают:</w:t>
      </w:r>
    </w:p>
    <w:p w14:paraId="3E68FCD6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введение, где отражаются цель стандарта и задачи, стоящие перед аудитором, а также даются определения важнейших используемых терминов;</w:t>
      </w:r>
    </w:p>
    <w:p w14:paraId="5CB866A5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разделы, излагающие суть стандарта;</w:t>
      </w:r>
    </w:p>
    <w:p w14:paraId="2946BE08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приложения (для некоторых стандартов).</w:t>
      </w:r>
    </w:p>
    <w:p w14:paraId="19F4F693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стандарты аудиторской деятельности </w:t>
      </w:r>
      <w:r w:rsidRPr="00E10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призваны регулировать</w:t>
      </w: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 единство организации, порядка и оформления процедур, а также результатов аудиторской деятельности во всем мире.</w:t>
      </w:r>
    </w:p>
    <w:p w14:paraId="65A42BAF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стандарты аудиторской деятельности требуют от профессионального бухгалтера использовать при их применении профессиональное суждение.</w:t>
      </w:r>
    </w:p>
    <w:p w14:paraId="662CC0F3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МФБ преследует практически две основные цели:</w:t>
      </w:r>
    </w:p>
    <w:p w14:paraId="5DF30517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поднять уровень профессионализма аудиторов в странах, где он ниже общемирового;</w:t>
      </w:r>
    </w:p>
    <w:p w14:paraId="4F1722E3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гармонизировать национальные стандарты и иные нормативные документы в области аудита с целью предоставления высококачественных услуг для всего мирового сообщества.</w:t>
      </w:r>
    </w:p>
    <w:p w14:paraId="45A24F02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BDD2D2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часто изменяются международные стандарты аудиторской деятельности</w:t>
      </w:r>
    </w:p>
    <w:p w14:paraId="534DACFC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5F2328F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Вполне логично, что поскольку функционирует Совет, он постоянно анализирует аспекты, связанные с применением разрабатываемых им стандартов с учетом новых тенденций и потребностей.</w:t>
      </w:r>
    </w:p>
    <w:p w14:paraId="178A9130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кардинальный пересмотр состава документов, регулирующих различные аспекты аудита, подготовленных МФБ, был в 2010 г., а затем в 2015 г. В декабре 2016 г. МФБ издал на английском языке сборник документов, регулирующих профессиональную деятельность аудиторских организаций, - Международные стандарты по контролю качества, аудиту, обзорным проверкам и другим услугам по заданиям, связанным с обеспечением уверенности, и сопутствующим услугам (Handbook of international quality control, auditing, review, other assurance, and related services pronouncements), а переведен на русский язык в 2017 г. Национальной организацией по стандартам финансового учета и отчетности. Последние поправки вступили в силу для аудита финансовой отчетности за периоды, заканчивающиеся 15.12.2016 или после этой даты.</w:t>
      </w:r>
    </w:p>
    <w:p w14:paraId="39F08DDE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это не значит, что работа завершена. Так, после этой даты принята новая редакция Кодекса этики и продолжается работа по другим документам.</w:t>
      </w:r>
    </w:p>
    <w:p w14:paraId="5C7F56A9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C2C8982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 порядок применения международных стандартов аудиторской деятельности</w:t>
      </w:r>
    </w:p>
    <w:p w14:paraId="73A3FA38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4C326CF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МФБ признает важность наличия у составителей отчетности и аудиторов, регулирующих органов, юристов, научного сообщества, студентов и других заинтересованных групп в странах, не являющихся англоговорящими, доступа к данным стандартам на родном языке, поэтому поддерживает и оказывают содействие в переиздании или в переводе на другие языки и переиздании своих публикаций.</w:t>
      </w:r>
    </w:p>
    <w:p w14:paraId="7DB4C5C3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международных стандартов аудиторской деятельности принадлежит МФБ. Для получения разрешения на воспроизводство, хранение или распространение, а также на другие аналогичные действия в отношении международных стандартов аудиторской деятельности обращаются в МФБ. Оплатив такое право МФБ, обратившееся лицо (орган) получает указанное право.</w:t>
      </w:r>
    </w:p>
    <w:p w14:paraId="1B13BFB4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МФБ в отношении перевода и воспроизведения этих защищенных авторским правом публикаций доступна в документах: Политика по переводу и воспроизведению стандартов, опубликованных Международной федерацией бухгалтеров и Политика по воспроизведению или по переводу и воспроизведению стандартов, опубликованных Международной федерацией бухгалтеров. Заинтересованные в воспроизведении или переводе и воспроизведении Сборника стороны должны обращаться по электронному адресу permissions@ifac.org за соответствующими условиями.</w:t>
      </w:r>
    </w:p>
    <w:p w14:paraId="5FAE2B97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Вводимые постановлением N 308 международные стандарты и документы по аудиторской деятельности приобретены по сборнику, выпущенному МФБ в 2017 г. на русском языке.</w:t>
      </w:r>
    </w:p>
    <w:p w14:paraId="37CB1978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59CF3BA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 особенности применения Кодекса этики в Беларуси</w:t>
      </w:r>
    </w:p>
    <w:p w14:paraId="713EE5F5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508DB79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отмечалось выше, в апреле 2019 г. был принят новый Международный кодекс этики профессиональных бухгалтеров (включая Международные стандарты независимости) вместо Кодекса этики, т.е. изменено название этого документа и продолжается работа по другим документам (например, принята новая редакция МСА 600, переводом которого в настоящее время активно занимается Российская Федерация).</w:t>
      </w:r>
    </w:p>
    <w:p w14:paraId="0FD860FD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редакция Кодекса этики вступила в силу 15.06.2019.</w:t>
      </w:r>
    </w:p>
    <w:p w14:paraId="7B0D8DF1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20B540E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предыдущей версии Кодекса этики (</w:t>
      </w:r>
      <w:r w:rsidRPr="00E10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 редакция введена в Республике Беларусь</w:t>
      </w: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) было три части:</w:t>
      </w:r>
    </w:p>
    <w:p w14:paraId="17A48085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А рассматривались общие этические принципы;</w:t>
      </w:r>
    </w:p>
    <w:p w14:paraId="1CE32338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В были положения для профессиональных бухгалтеров в общественной практике, т.е. для аудиторов. Здесь также рассматривались вопросы независимости;</w:t>
      </w:r>
    </w:p>
    <w:p w14:paraId="50CAD7F6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С включала разделы, посвященные профессиональным бухгалтерам в бизнесе.</w:t>
      </w:r>
    </w:p>
    <w:p w14:paraId="10CBD030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75FE706A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 Международном кодексе этики профессиональных бухгалтеров (включая Международные стандарты независимости) (</w:t>
      </w:r>
      <w:r w:rsidRPr="00E10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используется в Республике Беларусь</w:t>
      </w: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содержится четыре части:</w:t>
      </w:r>
    </w:p>
    <w:p w14:paraId="3D2B8E71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рассматривает вопросы по соблюдению Международного кодекса этики профессиональных бухгалтеров, основные принципы этики и концептуальный подход к соблюдению этих принципов;</w:t>
      </w:r>
    </w:p>
    <w:p w14:paraId="4B04494F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содержит этические аспекты работы профессиональных бухгалтеров в бизнесе;</w:t>
      </w:r>
    </w:p>
    <w:p w14:paraId="7E7D47BE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посвящена вопросам этики профессиональных бухгалтеров в общественной практике, т.е. аудиторов;</w:t>
      </w:r>
    </w:p>
    <w:p w14:paraId="27364161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4 представляет собой Международные стандарты независимости:</w:t>
      </w:r>
    </w:p>
    <w:p w14:paraId="6776FBBB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части 4А рассматриваются вопросы независимости при проведении аудита и обзорных проверок:</w:t>
      </w:r>
    </w:p>
    <w:p w14:paraId="5AA41870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 4В - вопросы независимости по прочим заданиям, обеспечивающим уверенность, отличным от аудита и обзорных проверок.</w:t>
      </w:r>
    </w:p>
    <w:p w14:paraId="644A62EB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следует учитывать, что устанавливаются более жесткие требования в отношении независимости и ротации кадров и другие требования, соблюдение которых должно быть обеспечено после вступления в силу данного документа (15.06.2019).</w:t>
      </w:r>
    </w:p>
    <w:p w14:paraId="14C1B03C" w14:textId="77777777" w:rsidR="00E10E30" w:rsidRPr="00E10E30" w:rsidRDefault="00E10E30" w:rsidP="00E10E3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если аудиторская организация проводит аудит в соответствии с международными стандартами, она должна учитывать указанный аспект.</w:t>
      </w:r>
    </w:p>
    <w:sectPr w:rsidR="00E10E30" w:rsidRPr="00E10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30"/>
    <w:rsid w:val="00732ADD"/>
    <w:rsid w:val="00E1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B19C"/>
  <w15:chartTrackingRefBased/>
  <w15:docId w15:val="{AA6E3426-13AD-2348-91D4-8875328E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10E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ont-weightbold">
    <w:name w:val="font-weight_bold"/>
    <w:basedOn w:val="a0"/>
    <w:rsid w:val="00E10E30"/>
  </w:style>
  <w:style w:type="paragraph" w:customStyle="1" w:styleId="p-normal">
    <w:name w:val="p-normal"/>
    <w:basedOn w:val="a"/>
    <w:rsid w:val="00E10E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h-normal">
    <w:name w:val="h-normal"/>
    <w:basedOn w:val="a0"/>
    <w:rsid w:val="00E10E30"/>
  </w:style>
  <w:style w:type="character" w:customStyle="1" w:styleId="fake-non-breaking-space">
    <w:name w:val="fake-non-breaking-space"/>
    <w:basedOn w:val="a0"/>
    <w:rsid w:val="00E10E30"/>
  </w:style>
  <w:style w:type="character" w:customStyle="1" w:styleId="not-visible-element">
    <w:name w:val="not-visible-element"/>
    <w:basedOn w:val="a0"/>
    <w:rsid w:val="00E10E30"/>
  </w:style>
  <w:style w:type="character" w:customStyle="1" w:styleId="font-styleitalic">
    <w:name w:val="font-style_italic"/>
    <w:basedOn w:val="a0"/>
    <w:rsid w:val="00E10E30"/>
  </w:style>
  <w:style w:type="character" w:customStyle="1" w:styleId="apple-converted-space">
    <w:name w:val="apple-converted-space"/>
    <w:basedOn w:val="a0"/>
    <w:rsid w:val="00E10E30"/>
  </w:style>
  <w:style w:type="character" w:customStyle="1" w:styleId="colorff00fffont-styleitalic">
    <w:name w:val="color__ff00fffont-style_italic"/>
    <w:basedOn w:val="a0"/>
    <w:rsid w:val="00E10E30"/>
  </w:style>
  <w:style w:type="character" w:customStyle="1" w:styleId="colorff0000font-weightbold">
    <w:name w:val="color__ff0000font-weight_bold"/>
    <w:basedOn w:val="a0"/>
    <w:rsid w:val="00E10E30"/>
  </w:style>
  <w:style w:type="character" w:customStyle="1" w:styleId="colorff00ff">
    <w:name w:val="color__ff00ff"/>
    <w:basedOn w:val="a0"/>
    <w:rsid w:val="00E10E30"/>
  </w:style>
  <w:style w:type="character" w:customStyle="1" w:styleId="target-paragraph">
    <w:name w:val="target-paragraph"/>
    <w:basedOn w:val="a0"/>
    <w:rsid w:val="00E10E30"/>
  </w:style>
  <w:style w:type="character" w:customStyle="1" w:styleId="colorff0000">
    <w:name w:val="color__ff0000"/>
    <w:basedOn w:val="a0"/>
    <w:rsid w:val="00E10E30"/>
  </w:style>
  <w:style w:type="paragraph" w:customStyle="1" w:styleId="p-consdtnormal">
    <w:name w:val="p-consdtnormal"/>
    <w:basedOn w:val="a"/>
    <w:rsid w:val="00E10E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h-consdtnormal">
    <w:name w:val="h-consdtnormal"/>
    <w:basedOn w:val="a0"/>
    <w:rsid w:val="00E10E30"/>
  </w:style>
  <w:style w:type="character" w:customStyle="1" w:styleId="btn-lnk">
    <w:name w:val="btn-lnk"/>
    <w:basedOn w:val="a0"/>
    <w:rsid w:val="00E10E30"/>
  </w:style>
  <w:style w:type="character" w:customStyle="1" w:styleId="icon-wrapper">
    <w:name w:val="icon-wrapper"/>
    <w:basedOn w:val="a0"/>
    <w:rsid w:val="00E10E30"/>
  </w:style>
  <w:style w:type="character" w:customStyle="1" w:styleId="color0000fffont-weightboldfont-styleitalic">
    <w:name w:val="color__0000fffont-weight_boldfont-style_italic"/>
    <w:basedOn w:val="a0"/>
    <w:rsid w:val="00E10E30"/>
  </w:style>
  <w:style w:type="character" w:customStyle="1" w:styleId="color0000fffont-styleitalic">
    <w:name w:val="color__0000fffont-style_italic"/>
    <w:basedOn w:val="a0"/>
    <w:rsid w:val="00E10E30"/>
  </w:style>
  <w:style w:type="character" w:customStyle="1" w:styleId="doc-image">
    <w:name w:val="doc-image"/>
    <w:basedOn w:val="a0"/>
    <w:rsid w:val="00E10E30"/>
  </w:style>
  <w:style w:type="character" w:customStyle="1" w:styleId="font-weightboldfont-styleitalic">
    <w:name w:val="font-weight_boldfont-style_italic"/>
    <w:basedOn w:val="a0"/>
    <w:rsid w:val="00E10E30"/>
  </w:style>
  <w:style w:type="character" w:customStyle="1" w:styleId="bookmark-icon">
    <w:name w:val="bookmark-icon"/>
    <w:basedOn w:val="a0"/>
    <w:rsid w:val="00E1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47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alexstrighe@icloud.com</dc:creator>
  <cp:keywords/>
  <dc:description/>
  <cp:lastModifiedBy>Пользователь Windows</cp:lastModifiedBy>
  <cp:revision>2</cp:revision>
  <dcterms:created xsi:type="dcterms:W3CDTF">2021-01-11T11:53:00Z</dcterms:created>
  <dcterms:modified xsi:type="dcterms:W3CDTF">2021-01-11T11:53:00Z</dcterms:modified>
</cp:coreProperties>
</file>