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CF" w:rsidRPr="00B10FB4" w:rsidRDefault="005626CF" w:rsidP="00825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0FB4">
        <w:rPr>
          <w:rFonts w:ascii="Times New Roman" w:hAnsi="Times New Roman" w:cs="Times New Roman"/>
          <w:sz w:val="24"/>
          <w:szCs w:val="24"/>
        </w:rPr>
        <w:t>АУДИТОРСКАЯ ПАЛАТА</w:t>
      </w:r>
    </w:p>
    <w:p w:rsidR="005626CF" w:rsidRPr="00B10FB4" w:rsidRDefault="005626CF" w:rsidP="00825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г. Минск</w:t>
      </w:r>
    </w:p>
    <w:p w:rsidR="005626CF" w:rsidRPr="00B10FB4" w:rsidRDefault="005626CF" w:rsidP="00306D1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626CF" w:rsidRPr="00B10FB4" w:rsidRDefault="005626CF" w:rsidP="00306D1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5626CF" w:rsidRPr="00B10FB4" w:rsidRDefault="005626CF" w:rsidP="00306D1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5626CF" w:rsidRPr="00B10FB4" w:rsidRDefault="005626CF" w:rsidP="00306D16">
      <w:pPr>
        <w:pStyle w:val="1"/>
        <w:suppressAutoHyphens/>
        <w:spacing w:line="240" w:lineRule="auto"/>
        <w:jc w:val="both"/>
        <w:rPr>
          <w:sz w:val="24"/>
        </w:rPr>
      </w:pPr>
      <w:r w:rsidRPr="00B10FB4">
        <w:rPr>
          <w:sz w:val="24"/>
        </w:rPr>
        <w:t>УТВЕРЖДЕНО</w:t>
      </w:r>
    </w:p>
    <w:p w:rsidR="005626CF" w:rsidRPr="00B10FB4" w:rsidRDefault="005626CF" w:rsidP="00306D16">
      <w:pPr>
        <w:pStyle w:val="1"/>
        <w:suppressAutoHyphens/>
        <w:spacing w:line="240" w:lineRule="auto"/>
        <w:jc w:val="both"/>
        <w:rPr>
          <w:sz w:val="24"/>
        </w:rPr>
      </w:pPr>
      <w:r w:rsidRPr="00B10FB4">
        <w:rPr>
          <w:sz w:val="24"/>
        </w:rPr>
        <w:t xml:space="preserve">Протокол заседания Правления </w:t>
      </w:r>
      <w:r w:rsidR="00677E8D" w:rsidRPr="00B10FB4">
        <w:rPr>
          <w:sz w:val="24"/>
        </w:rPr>
        <w:t>Аудиторской палаты</w:t>
      </w:r>
    </w:p>
    <w:p w:rsidR="005626CF" w:rsidRPr="00B10FB4" w:rsidRDefault="005626CF" w:rsidP="00306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6CF" w:rsidRDefault="005626CF" w:rsidP="00306D16">
      <w:pPr>
        <w:pStyle w:val="1"/>
        <w:suppressAutoHyphens/>
        <w:spacing w:line="240" w:lineRule="auto"/>
        <w:jc w:val="both"/>
        <w:rPr>
          <w:sz w:val="24"/>
        </w:rPr>
      </w:pPr>
      <w:r w:rsidRPr="00B10FB4">
        <w:rPr>
          <w:sz w:val="24"/>
        </w:rPr>
        <w:t>«</w:t>
      </w:r>
      <w:proofErr w:type="gramStart"/>
      <w:r w:rsidR="005623D5" w:rsidRPr="00B10FB4">
        <w:rPr>
          <w:sz w:val="24"/>
        </w:rPr>
        <w:t>28</w:t>
      </w:r>
      <w:r w:rsidRPr="00B10FB4">
        <w:rPr>
          <w:sz w:val="24"/>
        </w:rPr>
        <w:t xml:space="preserve">» </w:t>
      </w:r>
      <w:r w:rsidR="005623D5" w:rsidRPr="00B10FB4">
        <w:rPr>
          <w:sz w:val="24"/>
        </w:rPr>
        <w:t xml:space="preserve"> фев</w:t>
      </w:r>
      <w:r w:rsidR="00A0153A" w:rsidRPr="00B10FB4">
        <w:rPr>
          <w:sz w:val="24"/>
        </w:rPr>
        <w:t>раля</w:t>
      </w:r>
      <w:proofErr w:type="gramEnd"/>
      <w:r w:rsidR="00A0153A" w:rsidRPr="00B10FB4">
        <w:rPr>
          <w:sz w:val="24"/>
        </w:rPr>
        <w:t xml:space="preserve"> </w:t>
      </w:r>
      <w:r w:rsidRPr="00B10FB4">
        <w:rPr>
          <w:sz w:val="24"/>
        </w:rPr>
        <w:t>2020 г. №</w:t>
      </w:r>
      <w:r w:rsidR="00A0153A" w:rsidRPr="00B10FB4">
        <w:rPr>
          <w:sz w:val="24"/>
        </w:rPr>
        <w:t>10</w:t>
      </w:r>
    </w:p>
    <w:p w:rsidR="00902A74" w:rsidRPr="00902A74" w:rsidRDefault="00902A74" w:rsidP="00902A74">
      <w:pPr>
        <w:rPr>
          <w:lang w:eastAsia="ru-RU"/>
        </w:rPr>
      </w:pPr>
    </w:p>
    <w:p w:rsidR="005626CF" w:rsidRPr="00B10FB4" w:rsidRDefault="005626CF" w:rsidP="0030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46F" w:rsidRPr="00B10FB4" w:rsidRDefault="00AE046F" w:rsidP="0030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8A8" w:rsidRPr="00B10FB4" w:rsidRDefault="005626CF" w:rsidP="0055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FB4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9C279F" w:rsidRPr="00B10FB4">
        <w:rPr>
          <w:rFonts w:ascii="Times New Roman" w:hAnsi="Times New Roman" w:cs="Times New Roman"/>
          <w:b/>
          <w:sz w:val="24"/>
          <w:szCs w:val="24"/>
        </w:rPr>
        <w:t>е</w:t>
      </w:r>
      <w:r w:rsidRPr="00B10FB4">
        <w:rPr>
          <w:rFonts w:ascii="Times New Roman" w:hAnsi="Times New Roman" w:cs="Times New Roman"/>
          <w:b/>
          <w:sz w:val="24"/>
          <w:szCs w:val="24"/>
        </w:rPr>
        <w:t xml:space="preserve"> о принципах формирования </w:t>
      </w:r>
    </w:p>
    <w:p w:rsidR="005626CF" w:rsidRPr="00B10FB4" w:rsidRDefault="005626CF" w:rsidP="0055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FB4">
        <w:rPr>
          <w:rFonts w:ascii="Times New Roman" w:hAnsi="Times New Roman" w:cs="Times New Roman"/>
          <w:b/>
          <w:sz w:val="24"/>
          <w:szCs w:val="24"/>
        </w:rPr>
        <w:t>и использования имущества</w:t>
      </w:r>
      <w:r w:rsidR="005568A8" w:rsidRPr="00B1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E8D" w:rsidRPr="00B10FB4">
        <w:rPr>
          <w:rFonts w:ascii="Times New Roman" w:hAnsi="Times New Roman" w:cs="Times New Roman"/>
          <w:b/>
          <w:sz w:val="24"/>
          <w:szCs w:val="24"/>
        </w:rPr>
        <w:t>Аудиторской палаты</w:t>
      </w:r>
    </w:p>
    <w:p w:rsidR="005626CF" w:rsidRPr="00902A74" w:rsidRDefault="00902A74" w:rsidP="00902A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A74">
        <w:rPr>
          <w:rFonts w:ascii="Times New Roman" w:hAnsi="Times New Roman" w:cs="Times New Roman"/>
          <w:sz w:val="20"/>
          <w:szCs w:val="20"/>
        </w:rPr>
        <w:t>(в редакции решения Правления Аудиторской палаты от 10.02.2022 протокол №5)</w:t>
      </w:r>
    </w:p>
    <w:p w:rsidR="005626CF" w:rsidRPr="00B10FB4" w:rsidRDefault="005626CF" w:rsidP="00F64604">
      <w:pPr>
        <w:pStyle w:val="a3"/>
        <w:keepNext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b/>
          <w:sz w:val="24"/>
          <w:szCs w:val="24"/>
          <w:lang w:val="ru-RU"/>
        </w:rPr>
      </w:pPr>
      <w:r w:rsidRPr="00B10FB4">
        <w:rPr>
          <w:b/>
          <w:sz w:val="24"/>
          <w:szCs w:val="24"/>
          <w:lang w:val="ru-RU"/>
        </w:rPr>
        <w:t>ОБЩИЕ ПОЛОЖЕНИЯ</w:t>
      </w:r>
      <w:r w:rsidR="00F64604" w:rsidRPr="00B10FB4">
        <w:rPr>
          <w:b/>
          <w:sz w:val="24"/>
          <w:szCs w:val="24"/>
          <w:lang w:val="ru-RU"/>
        </w:rPr>
        <w:t>.</w:t>
      </w:r>
    </w:p>
    <w:p w:rsidR="001D0A28" w:rsidRPr="00B10FB4" w:rsidRDefault="001D0A28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Настоящ</w:t>
      </w:r>
      <w:r w:rsidR="009C279F" w:rsidRPr="00B10FB4">
        <w:rPr>
          <w:sz w:val="24"/>
          <w:szCs w:val="24"/>
        </w:rPr>
        <w:t>ее</w:t>
      </w:r>
      <w:r w:rsidRPr="00B10FB4">
        <w:rPr>
          <w:sz w:val="24"/>
          <w:szCs w:val="24"/>
        </w:rPr>
        <w:t xml:space="preserve"> </w:t>
      </w:r>
      <w:r w:rsidR="009C279F" w:rsidRPr="00B10FB4">
        <w:rPr>
          <w:sz w:val="24"/>
          <w:szCs w:val="24"/>
        </w:rPr>
        <w:t>Положение</w:t>
      </w:r>
      <w:r w:rsidRPr="00B10FB4">
        <w:rPr>
          <w:sz w:val="24"/>
          <w:szCs w:val="24"/>
        </w:rPr>
        <w:t xml:space="preserve"> регламентирует вопросы формирования, управления и использования имущества </w:t>
      </w:r>
      <w:r w:rsidR="00677E8D" w:rsidRPr="00B10FB4">
        <w:rPr>
          <w:sz w:val="24"/>
          <w:szCs w:val="24"/>
        </w:rPr>
        <w:t>Аудиторской палаты</w:t>
      </w:r>
      <w:r w:rsidRPr="00B10FB4">
        <w:rPr>
          <w:sz w:val="24"/>
          <w:szCs w:val="24"/>
        </w:rPr>
        <w:t>.</w:t>
      </w:r>
    </w:p>
    <w:p w:rsidR="004D4085" w:rsidRPr="00B10FB4" w:rsidRDefault="004D408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Принципы формирования и использования имущества Аудиторской палаты определяют основные цели, задачи, направления и приоритеты политики Аудиторской палаты в сфере управления имуществом, находящимся в собственности Аудиторской палаты.</w:t>
      </w:r>
    </w:p>
    <w:p w:rsidR="004D4085" w:rsidRPr="00B10FB4" w:rsidRDefault="004D408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Настоящее Положение основывается на Конституции Республики Беларусь, Гражданском кодексе Республики Беларусь, Законе Республики Беларусь от 12 июля 2013 года «Об аудиторской деятельности», иных актах законодательства, положениях Устава Аудиторской палаты.</w:t>
      </w:r>
    </w:p>
    <w:p w:rsidR="004D4085" w:rsidRPr="00B10FB4" w:rsidRDefault="004D408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Требования настоящего Положения являются приоритетными:</w:t>
      </w:r>
    </w:p>
    <w:p w:rsidR="0064279B" w:rsidRPr="00B10FB4" w:rsidRDefault="0064279B" w:rsidP="00F64604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 подготовке и принятии управленческих решений в сфере имущественных интересов </w:t>
      </w:r>
      <w:r w:rsidR="00677E8D" w:rsidRPr="00B10FB4">
        <w:rPr>
          <w:sz w:val="24"/>
          <w:szCs w:val="24"/>
        </w:rPr>
        <w:t>Аудиторской палаты</w:t>
      </w:r>
      <w:r w:rsidR="00F421E5" w:rsidRPr="00B10FB4">
        <w:rPr>
          <w:sz w:val="24"/>
          <w:szCs w:val="24"/>
          <w:lang w:val="ru-RU"/>
        </w:rPr>
        <w:t>;</w:t>
      </w:r>
    </w:p>
    <w:p w:rsidR="0064279B" w:rsidRPr="00B10FB4" w:rsidRDefault="001D0A28" w:rsidP="00F64604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 принятии  </w:t>
      </w:r>
      <w:r w:rsidR="006D278E" w:rsidRPr="00B10FB4">
        <w:rPr>
          <w:sz w:val="24"/>
          <w:szCs w:val="24"/>
          <w:lang w:val="ru-RU"/>
        </w:rPr>
        <w:t>локальных правовых</w:t>
      </w:r>
      <w:r w:rsidRPr="00B10FB4">
        <w:rPr>
          <w:sz w:val="24"/>
          <w:szCs w:val="24"/>
        </w:rPr>
        <w:t xml:space="preserve"> актов, регулирующих отношения в сфере имущественных интересов </w:t>
      </w:r>
      <w:r w:rsidR="00677E8D" w:rsidRPr="00B10FB4">
        <w:rPr>
          <w:sz w:val="24"/>
          <w:szCs w:val="24"/>
        </w:rPr>
        <w:t>Аудиторской палаты</w:t>
      </w:r>
      <w:r w:rsidRPr="00B10FB4">
        <w:rPr>
          <w:sz w:val="24"/>
          <w:szCs w:val="24"/>
        </w:rPr>
        <w:t>;</w:t>
      </w:r>
    </w:p>
    <w:p w:rsidR="001D0A28" w:rsidRPr="00B10FB4" w:rsidRDefault="001D0A28" w:rsidP="00F64604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 разработке и реализации решений о </w:t>
      </w:r>
      <w:r w:rsidR="0064279B" w:rsidRPr="00B10FB4">
        <w:rPr>
          <w:sz w:val="24"/>
          <w:szCs w:val="24"/>
          <w:lang w:val="ru-RU"/>
        </w:rPr>
        <w:t>порядке распределения и расходования средств</w:t>
      </w:r>
      <w:r w:rsidR="006A4F97" w:rsidRPr="00B10FB4">
        <w:rPr>
          <w:sz w:val="24"/>
          <w:szCs w:val="24"/>
          <w:lang w:val="ru-RU"/>
        </w:rPr>
        <w:t xml:space="preserve"> </w:t>
      </w:r>
      <w:r w:rsidR="00677E8D" w:rsidRPr="00B10FB4">
        <w:rPr>
          <w:sz w:val="24"/>
          <w:szCs w:val="24"/>
          <w:lang w:val="ru-RU"/>
        </w:rPr>
        <w:t>Аудиторской палаты</w:t>
      </w:r>
      <w:r w:rsidRPr="00B10FB4">
        <w:rPr>
          <w:sz w:val="24"/>
          <w:szCs w:val="24"/>
        </w:rPr>
        <w:t xml:space="preserve">, функциях и полномочиях </w:t>
      </w:r>
      <w:r w:rsidR="00746B85" w:rsidRPr="00B10FB4">
        <w:rPr>
          <w:sz w:val="24"/>
          <w:szCs w:val="24"/>
          <w:lang w:val="ru-RU"/>
        </w:rPr>
        <w:t>органов Аудиторской палаты</w:t>
      </w:r>
      <w:r w:rsidRPr="00B10FB4">
        <w:rPr>
          <w:sz w:val="24"/>
          <w:szCs w:val="24"/>
        </w:rPr>
        <w:t>.</w:t>
      </w:r>
    </w:p>
    <w:p w:rsidR="003F2896" w:rsidRPr="00B10FB4" w:rsidRDefault="003F2896" w:rsidP="00F64604">
      <w:pPr>
        <w:pStyle w:val="a3"/>
        <w:keepNext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B10FB4">
        <w:rPr>
          <w:b/>
          <w:sz w:val="24"/>
          <w:szCs w:val="24"/>
          <w:lang w:val="ru-RU"/>
        </w:rPr>
        <w:t xml:space="preserve">ПРИНЦИПЫ ФОРМИРОВАНИЯ ИМУЩЕСТВА </w:t>
      </w:r>
      <w:r w:rsidR="006179D3" w:rsidRPr="00B10FB4">
        <w:rPr>
          <w:b/>
          <w:sz w:val="24"/>
          <w:szCs w:val="24"/>
          <w:lang w:val="ru-RU"/>
        </w:rPr>
        <w:t>АУДИТОРСКОЙ ПАЛАТЫ</w:t>
      </w:r>
      <w:r w:rsidR="00F64604" w:rsidRPr="00B10FB4">
        <w:rPr>
          <w:b/>
          <w:sz w:val="24"/>
          <w:szCs w:val="24"/>
          <w:lang w:val="ru-RU"/>
        </w:rPr>
        <w:t>.</w:t>
      </w:r>
    </w:p>
    <w:p w:rsidR="004D4085" w:rsidRPr="00B10FB4" w:rsidRDefault="004D408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>Аудиторская палата является юридическим лицом и обладает правом собственности на принадлежащее ей имущество.</w:t>
      </w:r>
    </w:p>
    <w:p w:rsidR="004D4085" w:rsidRPr="00B10FB4" w:rsidRDefault="004D408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>Имущество Аудиторской палаты формируется за счет следующих основных источников: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вступительн</w:t>
      </w:r>
      <w:r w:rsidR="00CC50CA" w:rsidRPr="00B10FB4">
        <w:rPr>
          <w:rFonts w:ascii="Times New Roman" w:hAnsi="Times New Roman" w:cs="Times New Roman"/>
          <w:sz w:val="24"/>
          <w:szCs w:val="24"/>
        </w:rPr>
        <w:t>ых</w:t>
      </w:r>
      <w:r w:rsidRPr="00B10FB4">
        <w:rPr>
          <w:rFonts w:ascii="Times New Roman" w:hAnsi="Times New Roman" w:cs="Times New Roman"/>
          <w:sz w:val="24"/>
          <w:szCs w:val="24"/>
        </w:rPr>
        <w:t>, членских и целевых взносов;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безвозмездной (спонсорской) помощи;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выручки от реализации образовательной программы обучения в организациях, а также образовательной программы обучающих курсов (лекториев, тематических семинаров, практикумов, тренингов и иных видов обучающих курсов);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выручки от издательской деятельности;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выручки от</w:t>
      </w:r>
      <w:r w:rsidR="00A0153A" w:rsidRPr="00B10FB4">
        <w:rPr>
          <w:rFonts w:ascii="Times New Roman" w:hAnsi="Times New Roman" w:cs="Times New Roman"/>
          <w:sz w:val="24"/>
          <w:szCs w:val="24"/>
        </w:rPr>
        <w:t xml:space="preserve"> </w:t>
      </w:r>
      <w:r w:rsidRPr="00B10FB4">
        <w:rPr>
          <w:rFonts w:ascii="Times New Roman" w:hAnsi="Times New Roman" w:cs="Times New Roman"/>
          <w:sz w:val="24"/>
          <w:szCs w:val="24"/>
        </w:rPr>
        <w:t>консультационных услуг в областях, связанных с осуществлением аудиторской деятельности и оказанием профессиональных услуг;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lastRenderedPageBreak/>
        <w:t>доходов от хранения временно свободных денежных средств на счетах в банках Республики Беларусь, а также от размещения этих денежных средств во вклады (депозиты);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имуществ</w:t>
      </w:r>
      <w:r w:rsidR="006676F6" w:rsidRPr="00B10FB4">
        <w:rPr>
          <w:rFonts w:ascii="Times New Roman" w:hAnsi="Times New Roman" w:cs="Times New Roman"/>
          <w:sz w:val="24"/>
          <w:szCs w:val="24"/>
        </w:rPr>
        <w:t>а</w:t>
      </w:r>
      <w:r w:rsidRPr="00B10FB4">
        <w:rPr>
          <w:rFonts w:ascii="Times New Roman" w:hAnsi="Times New Roman" w:cs="Times New Roman"/>
          <w:sz w:val="24"/>
          <w:szCs w:val="24"/>
        </w:rPr>
        <w:t>, добровольно переданно</w:t>
      </w:r>
      <w:r w:rsidR="006676F6" w:rsidRPr="00B10FB4">
        <w:rPr>
          <w:rFonts w:ascii="Times New Roman" w:hAnsi="Times New Roman" w:cs="Times New Roman"/>
          <w:sz w:val="24"/>
          <w:szCs w:val="24"/>
        </w:rPr>
        <w:t>го</w:t>
      </w:r>
      <w:r w:rsidRPr="00B10FB4">
        <w:rPr>
          <w:rFonts w:ascii="Times New Roman" w:hAnsi="Times New Roman" w:cs="Times New Roman"/>
          <w:sz w:val="24"/>
          <w:szCs w:val="24"/>
        </w:rPr>
        <w:t xml:space="preserve"> в собственность Аудиторской палаты ее членами;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средств, полученны</w:t>
      </w:r>
      <w:r w:rsidR="00AC64A2" w:rsidRPr="00B10FB4">
        <w:rPr>
          <w:rFonts w:ascii="Times New Roman" w:hAnsi="Times New Roman" w:cs="Times New Roman"/>
          <w:sz w:val="24"/>
          <w:szCs w:val="24"/>
        </w:rPr>
        <w:t>х</w:t>
      </w:r>
      <w:r w:rsidRPr="00B10FB4">
        <w:rPr>
          <w:rFonts w:ascii="Times New Roman" w:hAnsi="Times New Roman" w:cs="Times New Roman"/>
          <w:sz w:val="24"/>
          <w:szCs w:val="24"/>
        </w:rPr>
        <w:t xml:space="preserve"> от уплаты штрафов по результатам осуществления Аудиторской палатой внешней оценки качества работы аудиторских организаций, аудиторов – индивидуальных предпринимателей;</w:t>
      </w:r>
    </w:p>
    <w:p w:rsidR="00437055" w:rsidRPr="00B10FB4" w:rsidRDefault="00437055" w:rsidP="00F6460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других поступлений, не противоречащих законодательству и Уставу Аудиторской палаты.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Аудиторская палата вправе осуществлять деятельность, приносящую доход, лишь постольку, поскольку это служит достижению целей, ради которых она создана, соответствует указанным целям и не запрещена законодательством.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Размеры вступительного и членских взносов членов Аудиторской палаты устанавливаются Правлением Аудиторской палаты по согласованию с Наблюдательным советом по аудиторской деятельности исходя из затрат, необходимых для содержания Аудиторской палаты и выполнения возложенных на нее задач и функций.</w:t>
      </w:r>
    </w:p>
    <w:p w:rsidR="00437055" w:rsidRPr="00B10FB4" w:rsidRDefault="00437055" w:rsidP="00F646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Вступительный и членские взносы уплачиваются членами Аудиторской палаты без определения конкретных целей и сроков их использования.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Для реализации своих уставных задач Аудиторская палата вправе:</w:t>
      </w:r>
    </w:p>
    <w:p w:rsidR="00437055" w:rsidRPr="00B10FB4" w:rsidRDefault="00437055" w:rsidP="00F64604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привлекать и использовать материальные и финансовые средства и иную помощь национальных и иностранных организаций; </w:t>
      </w:r>
    </w:p>
    <w:p w:rsidR="00437055" w:rsidRPr="00B10FB4" w:rsidRDefault="00437055" w:rsidP="00F64604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привлекать целевые взносы членов Аудиторской палаты на проведение организуемых Аудиторской палатой мероприятий, участниками которых эти члены являются, в порядке, определяемом </w:t>
      </w:r>
      <w:r w:rsidRPr="00B10FB4">
        <w:rPr>
          <w:sz w:val="24"/>
          <w:szCs w:val="24"/>
          <w:lang w:val="ru-RU"/>
        </w:rPr>
        <w:t>П</w:t>
      </w:r>
      <w:r w:rsidRPr="00B10FB4">
        <w:rPr>
          <w:sz w:val="24"/>
          <w:szCs w:val="24"/>
        </w:rPr>
        <w:t xml:space="preserve">равлением Аудиторской палаты; </w:t>
      </w:r>
    </w:p>
    <w:p w:rsidR="00437055" w:rsidRPr="00B10FB4" w:rsidRDefault="00437055" w:rsidP="00F64604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открывать счета, в том числе валютные, в банковских учреждениях; </w:t>
      </w:r>
    </w:p>
    <w:p w:rsidR="00437055" w:rsidRPr="00B10FB4" w:rsidRDefault="00437055" w:rsidP="00F64604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осуществлять иные виды деятельности, отвечающие целям Аудиторской палаты и не запрещенные законодательством. </w:t>
      </w:r>
    </w:p>
    <w:p w:rsidR="00437055" w:rsidRPr="00B10FB4" w:rsidRDefault="00437055" w:rsidP="00F64604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привлекать иные источники, не запрещенные законодательством. 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Средства, полученные от уплаты штрафов по результатам осуществления Аудиторской палатой внешней оценки качества работы аудиторских организаций, аудиторов – индивидуальных предпринимателей, используются Аудиторской палатой по согласованию с </w:t>
      </w:r>
      <w:r w:rsidR="006676F6" w:rsidRPr="00B10FB4">
        <w:rPr>
          <w:sz w:val="24"/>
          <w:szCs w:val="24"/>
          <w:lang w:val="ru-RU"/>
        </w:rPr>
        <w:t>Н</w:t>
      </w:r>
      <w:r w:rsidRPr="00B10FB4">
        <w:rPr>
          <w:sz w:val="24"/>
          <w:szCs w:val="24"/>
        </w:rPr>
        <w:t>аблюдательным советом по аудиторской деятельности на реализацию образовательной программы обучающих курсов (лекториев, тематических семинаров, практикумов, тренингов и иных видов обучающих курсов), нацеленной на повышение качества оказания аудиторских услуг.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Члены Аудиторской палаты не имеют каких–либо прав на имущество, являющееся собственностью Аудиторской палаты.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Аудиторская палата отвечает по своим обязательствам всем принадлежащим ей имуществом. Члены Аудиторской палаты не отвечают по обязательствам Аудиторской палаты, а Аудиторская палата не отвечает по обязательствам ее членов.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Прибыль Аудиторской палаты, полученная по итогам календарного года, не подлежит распределению между членами Аудиторской палаты и может быть использована в качестве дополнительного источника финансирования деятельности Аудиторской палаты.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В случае недостаточности в течение года средств для финансирования деятельности Аудиторской палаты </w:t>
      </w:r>
      <w:r w:rsidR="006676F6" w:rsidRPr="00B10FB4">
        <w:rPr>
          <w:sz w:val="24"/>
          <w:szCs w:val="24"/>
          <w:lang w:val="ru-RU"/>
        </w:rPr>
        <w:t>неиспользованный остаток</w:t>
      </w:r>
      <w:r w:rsidRPr="00B10FB4">
        <w:rPr>
          <w:sz w:val="24"/>
          <w:szCs w:val="24"/>
        </w:rPr>
        <w:t xml:space="preserve"> прошлых лет может быть </w:t>
      </w:r>
      <w:r w:rsidR="000C4B88" w:rsidRPr="00B10FB4">
        <w:rPr>
          <w:sz w:val="24"/>
          <w:szCs w:val="24"/>
          <w:lang w:val="ru-RU"/>
        </w:rPr>
        <w:t xml:space="preserve">направлен на покрытие </w:t>
      </w:r>
      <w:r w:rsidR="006676F6" w:rsidRPr="00B10FB4">
        <w:rPr>
          <w:sz w:val="24"/>
          <w:szCs w:val="24"/>
          <w:lang w:val="ru-RU"/>
        </w:rPr>
        <w:t xml:space="preserve">образовавшегося </w:t>
      </w:r>
      <w:r w:rsidRPr="00B10FB4">
        <w:rPr>
          <w:sz w:val="24"/>
          <w:szCs w:val="24"/>
        </w:rPr>
        <w:t>дефицита</w:t>
      </w:r>
      <w:r w:rsidR="00902A74">
        <w:rPr>
          <w:sz w:val="24"/>
          <w:szCs w:val="24"/>
          <w:lang w:val="ru-RU"/>
        </w:rPr>
        <w:t xml:space="preserve">, за исключением случаев, когда законодательными актами и (или) Уставом Аудиторской палаты предусмотрено целевое </w:t>
      </w:r>
      <w:r w:rsidR="00902A74">
        <w:rPr>
          <w:sz w:val="24"/>
          <w:szCs w:val="24"/>
          <w:lang w:val="ru-RU"/>
        </w:rPr>
        <w:lastRenderedPageBreak/>
        <w:t>использование соответствующих средств по согласованию с наблюдательным советом по аудиторской деятельности.</w:t>
      </w:r>
    </w:p>
    <w:p w:rsidR="00437055" w:rsidRPr="00B10FB4" w:rsidRDefault="00437055" w:rsidP="00F64604">
      <w:pPr>
        <w:pStyle w:val="a3"/>
        <w:keepNext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B10FB4">
        <w:rPr>
          <w:b/>
          <w:sz w:val="24"/>
          <w:szCs w:val="24"/>
          <w:lang w:val="ru-RU"/>
        </w:rPr>
        <w:t>ЦЕЛИ УПРАВЛЕНИЯ ИМУЩЕСТВОМ АУДИТОРСКОЙ ПАЛАТЫ</w:t>
      </w:r>
      <w:r w:rsidR="00F64604" w:rsidRPr="00B10FB4">
        <w:rPr>
          <w:b/>
          <w:sz w:val="24"/>
          <w:szCs w:val="24"/>
          <w:lang w:val="ru-RU"/>
        </w:rPr>
        <w:t>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Управление имуществом Аудиторской палаты должно быть направлено на достижение следующих уставных целей и обеспечивать:</w:t>
      </w:r>
    </w:p>
    <w:p w:rsidR="00437055" w:rsidRPr="00B10FB4" w:rsidRDefault="00437055" w:rsidP="00F64604">
      <w:pPr>
        <w:pStyle w:val="a3"/>
        <w:numPr>
          <w:ilvl w:val="0"/>
          <w:numId w:val="7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создание благоприятной среды и формирование возможностей для обеспечения выполнения уставных задач, реализации функций</w:t>
      </w:r>
      <w:r w:rsidRPr="00B10FB4">
        <w:rPr>
          <w:sz w:val="24"/>
          <w:szCs w:val="24"/>
          <w:lang w:val="ru-RU"/>
        </w:rPr>
        <w:t xml:space="preserve"> </w:t>
      </w:r>
      <w:r w:rsidRPr="00B10FB4">
        <w:rPr>
          <w:sz w:val="24"/>
          <w:szCs w:val="24"/>
        </w:rPr>
        <w:t>Аудиторской палаты;</w:t>
      </w:r>
    </w:p>
    <w:p w:rsidR="00437055" w:rsidRPr="00B10FB4" w:rsidRDefault="00437055" w:rsidP="00F64604">
      <w:pPr>
        <w:pStyle w:val="a3"/>
        <w:numPr>
          <w:ilvl w:val="0"/>
          <w:numId w:val="7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достижение максимально возможной экономической эффективности использования имущества</w:t>
      </w:r>
      <w:r w:rsidRPr="00B10FB4">
        <w:rPr>
          <w:sz w:val="24"/>
          <w:szCs w:val="24"/>
          <w:lang w:val="ru-RU"/>
        </w:rPr>
        <w:t xml:space="preserve"> Аудиторской палаты</w:t>
      </w:r>
      <w:r w:rsidRPr="00B10FB4">
        <w:rPr>
          <w:sz w:val="24"/>
          <w:szCs w:val="24"/>
        </w:rPr>
        <w:t>;</w:t>
      </w:r>
    </w:p>
    <w:p w:rsidR="00437055" w:rsidRPr="00B10FB4" w:rsidRDefault="00437055" w:rsidP="00F64604">
      <w:pPr>
        <w:pStyle w:val="a3"/>
        <w:numPr>
          <w:ilvl w:val="0"/>
          <w:numId w:val="7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обеспечение оптимальной с точки зрения интересов организации структуры имущества </w:t>
      </w:r>
      <w:r w:rsidRPr="00B10FB4">
        <w:rPr>
          <w:sz w:val="24"/>
          <w:szCs w:val="24"/>
          <w:lang w:val="ru-RU"/>
        </w:rPr>
        <w:t xml:space="preserve">Аудиторской палаты </w:t>
      </w:r>
      <w:r w:rsidRPr="00B10FB4">
        <w:rPr>
          <w:sz w:val="24"/>
          <w:szCs w:val="24"/>
        </w:rPr>
        <w:t>по формам и вариантам использования.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В соответствии с указанными целями система управления имуществом Аудиторской палаты должна обеспечивать решение следующих задач:</w:t>
      </w:r>
    </w:p>
    <w:p w:rsidR="00437055" w:rsidRPr="00B10FB4" w:rsidRDefault="00437055" w:rsidP="00F64604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обеспечение стабильного поступления доходов от использования имущества </w:t>
      </w:r>
      <w:r w:rsidRPr="00B10FB4">
        <w:rPr>
          <w:sz w:val="24"/>
          <w:szCs w:val="24"/>
          <w:lang w:val="ru-RU"/>
        </w:rPr>
        <w:t xml:space="preserve">Аудиторской палаты </w:t>
      </w:r>
      <w:r w:rsidRPr="00B10FB4">
        <w:rPr>
          <w:sz w:val="24"/>
          <w:szCs w:val="24"/>
        </w:rPr>
        <w:t>в бюджет</w:t>
      </w:r>
      <w:r w:rsidRPr="00B10FB4">
        <w:rPr>
          <w:sz w:val="24"/>
          <w:szCs w:val="24"/>
          <w:lang w:val="ru-RU"/>
        </w:rPr>
        <w:t xml:space="preserve"> </w:t>
      </w:r>
      <w:r w:rsidRPr="00B10FB4">
        <w:rPr>
          <w:sz w:val="24"/>
          <w:szCs w:val="24"/>
        </w:rPr>
        <w:t>Аудиторской палаты;</w:t>
      </w:r>
    </w:p>
    <w:p w:rsidR="00437055" w:rsidRPr="00B10FB4" w:rsidRDefault="00437055" w:rsidP="00F64604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создание необходимых и достаточных (с точки зрения использования имущества</w:t>
      </w:r>
      <w:r w:rsidRPr="00B10FB4">
        <w:rPr>
          <w:sz w:val="24"/>
          <w:szCs w:val="24"/>
          <w:lang w:val="ru-RU"/>
        </w:rPr>
        <w:t xml:space="preserve"> Аудиторской палаты</w:t>
      </w:r>
      <w:r w:rsidRPr="00B10FB4">
        <w:rPr>
          <w:sz w:val="24"/>
          <w:szCs w:val="24"/>
        </w:rPr>
        <w:t xml:space="preserve">) условий для деятельности </w:t>
      </w:r>
      <w:r w:rsidRPr="00B10FB4">
        <w:rPr>
          <w:rFonts w:eastAsiaTheme="minorHAnsi"/>
          <w:sz w:val="24"/>
          <w:szCs w:val="24"/>
          <w:lang w:val="ru-RU" w:eastAsia="en-US"/>
        </w:rPr>
        <w:t>органов и работников</w:t>
      </w:r>
      <w:r w:rsidRPr="00B10FB4">
        <w:rPr>
          <w:sz w:val="24"/>
          <w:szCs w:val="24"/>
        </w:rPr>
        <w:t xml:space="preserve"> Аудиторской палаты;</w:t>
      </w:r>
    </w:p>
    <w:p w:rsidR="00437055" w:rsidRPr="00B10FB4" w:rsidRDefault="00437055" w:rsidP="00F64604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минимизация затрат по содержанию имущества Аудиторской палаты.</w:t>
      </w:r>
    </w:p>
    <w:p w:rsidR="00437055" w:rsidRPr="00B10FB4" w:rsidRDefault="00437055" w:rsidP="00F64604">
      <w:pPr>
        <w:pStyle w:val="a3"/>
        <w:keepNext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B10FB4">
        <w:rPr>
          <w:b/>
          <w:sz w:val="24"/>
          <w:szCs w:val="24"/>
          <w:lang w:val="ru-RU"/>
        </w:rPr>
        <w:t>ПРИНЦИПЫ УПРАВЛЕНИЯ ИМУЩЕСТВОМ АУДИТОРСКОЙ ПАЛАТЫ</w:t>
      </w:r>
      <w:r w:rsidR="00F64604" w:rsidRPr="00B10FB4">
        <w:rPr>
          <w:b/>
          <w:sz w:val="24"/>
          <w:szCs w:val="24"/>
          <w:lang w:val="ru-RU"/>
        </w:rPr>
        <w:t>.</w:t>
      </w:r>
    </w:p>
    <w:p w:rsidR="00437055" w:rsidRPr="00B10FB4" w:rsidRDefault="00437055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 xml:space="preserve">Имущество Аудиторской палаты используется для достижения целей и выполнения задач, установленных Уставом Аудиторской палаты, </w:t>
      </w:r>
      <w:r w:rsidRPr="00B10FB4">
        <w:rPr>
          <w:rFonts w:eastAsiaTheme="minorHAnsi"/>
          <w:sz w:val="24"/>
          <w:szCs w:val="24"/>
          <w:lang w:val="ru-RU" w:eastAsia="en-US"/>
        </w:rPr>
        <w:t xml:space="preserve">на основании решений общего собрания членов Аудиторской палаты, Правления Аудиторской палаты, Председателя Аудиторской палаты (в его отсутствие – </w:t>
      </w:r>
      <w:r w:rsidR="003B08BE" w:rsidRPr="00B10FB4">
        <w:rPr>
          <w:sz w:val="24"/>
          <w:szCs w:val="24"/>
          <w:lang w:val="ru-RU"/>
        </w:rPr>
        <w:t>заместител</w:t>
      </w:r>
      <w:r w:rsidRPr="00B10FB4">
        <w:rPr>
          <w:sz w:val="24"/>
          <w:szCs w:val="24"/>
          <w:lang w:val="ru-RU"/>
        </w:rPr>
        <w:t>я</w:t>
      </w:r>
      <w:r w:rsidR="003B08BE" w:rsidRPr="00B10FB4">
        <w:rPr>
          <w:sz w:val="24"/>
          <w:szCs w:val="24"/>
          <w:lang w:val="ru-RU"/>
        </w:rPr>
        <w:t xml:space="preserve"> председателя Аудиторской палаты</w:t>
      </w:r>
      <w:r w:rsidRPr="00B10FB4">
        <w:rPr>
          <w:sz w:val="24"/>
          <w:szCs w:val="24"/>
          <w:lang w:val="ru-RU"/>
        </w:rPr>
        <w:t>) в порядке, установленном законодательством и Уставом Аудиторской палаты.</w:t>
      </w:r>
    </w:p>
    <w:p w:rsidR="00437055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>Расходы Аудиторской палаты осуществляются на основании годовой сметы доходов и расходов, утверждаемой Правлением Аудиторской палаты, согласованной с Наблюдательным советом по аудиторской деятельности.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>Годовая отчетность Аудиторской палаты утверждается общим собранием членов Аудиторской палаты.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>В целях предотвращения убытков от обесценивания остатков временно свободных денежных средств, в том числе полученных в виде членских взносов, добровольных имущественных взносов, иных видов финансирования, органы Аудиторской палаты в пределах своей компетенции вправе принимать любые разумные меры по сохранению денежных средств и совершать</w:t>
      </w:r>
      <w:r w:rsidRPr="00B10FB4">
        <w:rPr>
          <w:rFonts w:eastAsiaTheme="minorHAnsi"/>
          <w:sz w:val="24"/>
          <w:szCs w:val="24"/>
          <w:lang w:val="ru-RU" w:eastAsia="en-US"/>
        </w:rPr>
        <w:t xml:space="preserve"> любые сделки</w:t>
      </w:r>
      <w:r w:rsidRPr="00B10FB4">
        <w:rPr>
          <w:sz w:val="24"/>
          <w:szCs w:val="24"/>
          <w:lang w:val="ru-RU"/>
        </w:rPr>
        <w:t xml:space="preserve">, не противоречащие законодательству, Уставу Аудиторской палаты, целям и задачам Аудиторской палаты.  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 xml:space="preserve">Порядок формирования специальных целевых фондов Аудиторской палаты, а также направления их использования осуществляются на основании решений </w:t>
      </w:r>
      <w:r w:rsidR="002C3791" w:rsidRPr="00B10FB4">
        <w:rPr>
          <w:sz w:val="24"/>
          <w:szCs w:val="24"/>
          <w:lang w:val="ru-RU"/>
        </w:rPr>
        <w:t>Правления Аудиторской палаты</w:t>
      </w:r>
      <w:r w:rsidRPr="00B10FB4">
        <w:rPr>
          <w:sz w:val="24"/>
          <w:szCs w:val="24"/>
          <w:lang w:val="ru-RU"/>
        </w:rPr>
        <w:t>.</w:t>
      </w:r>
    </w:p>
    <w:p w:rsidR="003C78D4" w:rsidRPr="00B10FB4" w:rsidRDefault="003C78D4" w:rsidP="00F64604">
      <w:pPr>
        <w:pStyle w:val="a3"/>
        <w:keepNext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B10FB4">
        <w:rPr>
          <w:b/>
          <w:sz w:val="24"/>
          <w:szCs w:val="24"/>
          <w:lang w:val="ru-RU"/>
        </w:rPr>
        <w:t xml:space="preserve">ОРГАНИЗАЦИЯ ЗАКУПОК ДЛЯ НУЖД </w:t>
      </w:r>
      <w:r w:rsidRPr="00B10FB4">
        <w:rPr>
          <w:b/>
          <w:sz w:val="24"/>
          <w:szCs w:val="24"/>
        </w:rPr>
        <w:t>АУДИТОРСКОЙ ПАЛАТЫ</w:t>
      </w:r>
      <w:r w:rsidR="00F64604" w:rsidRPr="00B10FB4">
        <w:rPr>
          <w:b/>
          <w:sz w:val="24"/>
          <w:szCs w:val="24"/>
          <w:lang w:val="ru-RU"/>
        </w:rPr>
        <w:t>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Основными принципами при осуществлении закупок товаров (работ, услуг) для нужд Аудиторской палаты являются: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оптимальное и эффективное расходование денежных средств на приобретение товаров (работ, услуг);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информационная открытость и прозрачность закупок;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lastRenderedPageBreak/>
        <w:t>– справедливое, равноправное и беспристрастное отношение к участникам закупок;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 xml:space="preserve">– отсутствие дискриминации и необоснованных ограничений по допуску к участию в закупке путем установления </w:t>
      </w:r>
      <w:proofErr w:type="spellStart"/>
      <w:r w:rsidRPr="00B10FB4">
        <w:rPr>
          <w:rFonts w:ascii="Times New Roman" w:hAnsi="Times New Roman" w:cs="Times New Roman"/>
          <w:sz w:val="24"/>
          <w:szCs w:val="24"/>
        </w:rPr>
        <w:t>неизмеряемых</w:t>
      </w:r>
      <w:proofErr w:type="spellEnd"/>
      <w:r w:rsidRPr="00B10FB4">
        <w:rPr>
          <w:rFonts w:ascii="Times New Roman" w:hAnsi="Times New Roman" w:cs="Times New Roman"/>
          <w:sz w:val="24"/>
          <w:szCs w:val="24"/>
        </w:rPr>
        <w:t xml:space="preserve"> требований к участникам закупки.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Закупка товаров (работ, услуг) осуществляется в пределах соответствующего бюджета, исходя из результатов изучения конъюнктуры рынка в пределах лимита средств, предусмотренных сметой доходов и расходов, на основании задания на закупку товаров (работ, услуг), которое может быть оформлено в виде докладной записки на имя Председателя Аудиторской палаты.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Если закупка не предусмотрена бюджетом, заместитель Председателя Аудиторской палаты или член Правления Аудиторской палаты, инициирующий закупку, обязан согласовать с Правлением Аудиторской палаты решение о перераспределении статей бюджета в пределах утвержденной сметы доходов и расходов в пользу совершаемой закупки</w:t>
      </w:r>
      <w:r w:rsidR="00902A74">
        <w:rPr>
          <w:sz w:val="24"/>
          <w:szCs w:val="24"/>
          <w:lang w:val="ru-RU"/>
        </w:rPr>
        <w:t>, за исключением случаев, когда законодательными актами и (или) Уставом Аудиторской палаты предусмотрено целевое использование соответствующих средств по согласованию с наблюдательным советом по аудиторской деятельности</w:t>
      </w:r>
      <w:r w:rsidRPr="00B10FB4">
        <w:rPr>
          <w:sz w:val="24"/>
          <w:szCs w:val="24"/>
        </w:rPr>
        <w:t>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При закупке товаров (работ, услуг) в Аудиторской палате могут применяться следующие виды процедур закупок:</w:t>
      </w:r>
    </w:p>
    <w:p w:rsidR="003C78D4" w:rsidRPr="00B10FB4" w:rsidRDefault="003C78D4" w:rsidP="00F64604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 xml:space="preserve">открытый </w:t>
      </w:r>
      <w:r w:rsidRPr="00B10FB4">
        <w:rPr>
          <w:sz w:val="24"/>
          <w:szCs w:val="24"/>
        </w:rPr>
        <w:t>конкурс;</w:t>
      </w:r>
    </w:p>
    <w:p w:rsidR="003C78D4" w:rsidRPr="00B10FB4" w:rsidRDefault="003C78D4" w:rsidP="00F64604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процедура запроса ценовых предложений;</w:t>
      </w:r>
    </w:p>
    <w:p w:rsidR="003C78D4" w:rsidRPr="00B10FB4" w:rsidRDefault="003C78D4" w:rsidP="00F64604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процедура оформления конкурентного листа;</w:t>
      </w:r>
    </w:p>
    <w:p w:rsidR="003C78D4" w:rsidRPr="00B10FB4" w:rsidRDefault="003C78D4" w:rsidP="00F64604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процедура закупки из одного источника</w:t>
      </w:r>
      <w:r w:rsidRPr="00B10FB4">
        <w:rPr>
          <w:sz w:val="24"/>
          <w:szCs w:val="24"/>
          <w:lang w:val="ru-RU"/>
        </w:rPr>
        <w:t xml:space="preserve"> или у единственного поставщика (подрядчика, исполнителя)</w:t>
      </w:r>
      <w:r w:rsidRPr="00B10FB4">
        <w:rPr>
          <w:sz w:val="24"/>
          <w:szCs w:val="24"/>
        </w:rPr>
        <w:t>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Открытый конкурс – конкурентный способ выбора поставщика (исполнителя, подрядчика), при котором информация о потребностях в товарах (работах, услугах) для нужд Аудиторской палаты сообщается неограниченному кругу лиц путем размещения на официальном сайте Аудиторской палаты в глобальной компьютерной сети Интернет извещения о проведении открытого конкурса и к участникам закупки предъявляются единые требования.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Процедура открытого конкурса применяется во всех случаях закупки товаров (работ, услуг) на сумму, превышающую 1 000 базовых величин.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Процедура запроса ценовых предложений – вид процедуры закупки, представляющий собой гласный конкурентный способ выбора поставщика (подрядчика, исполнителя) с размещением извещения о ее проведении для неограниченного круга лиц на официальном сайте Аудиторской палаты в глобальной компьютерной сети Интернет либо без размещения такого извещения, победителем которого признается участник, предложивший наименьшую цену предложения.</w:t>
      </w:r>
    </w:p>
    <w:p w:rsidR="003C78D4" w:rsidRPr="00B10FB4" w:rsidRDefault="003C78D4" w:rsidP="00F646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Процедура запроса ценовых предложений применяется при осуществлении закупок, при которых единственным критерием выбора поставщика (подрядчика, исполнителя) является цена за единицу предмета закупки и которые не подпадают под ценовые условия, определенные для процедуры открытого конкурса и закупки из одного источника либо у единственного поставщика (исполнителя, подрядчика).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Процедура оформления конкурентного листа – вид процедуры закупки, представляющий собой гласный конкурентный способ выбора поставщика (подрядчика, исполнителя) с размещением извещения о ее проведении для неограниченного круга лиц на официальном сайте Аудиторской палаты в глобальной компьютерной сети Интернет либо без размещения такого извещения, победителем которого признается участник, предложивший наиболее выгодные условия предложения.</w:t>
      </w:r>
    </w:p>
    <w:p w:rsidR="003C78D4" w:rsidRPr="00B10FB4" w:rsidRDefault="003C78D4" w:rsidP="00F646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lastRenderedPageBreak/>
        <w:t>Процедура оформления конкурентного листа применяется при осуществлении закупок, при которых, помимо цены за единицу предмета закупки, имеются и иные критерии выбора поставщика (подрядчика, исполнителя) и которые не подпадают под ценовые условия, определенные для процедуры открытого конкурса и закупки из одного источника либо у единственного поставщика (исполнителя, подрядчика).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Процедура закупки из одного источника либо у единственного поставщика (исполнителя, подрядчика) – вид процедуры закупки, при котором Аудиторской палатой проводится предварительное изучение конъюнктуры рынка без размещения извещения для неограниченного круга лиц на официальном сайте Аудиторской палаты в глобальной компьютерной сети Интернет. На основании результатов мониторинга Аудиторская палата предлагает заключить договор только одному конкретному поставщику (исполнителю, подрядчику).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Процедура закупки из одного источника либо у единственного поставщика (исполнителя, подрядчика) применяется в случаях закупки товаров (работ, услуг) на сумму, не превышающую 500 базовых величин.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 xml:space="preserve">Поиск товаров (работ, услуг) при применении процедуры закупки из одного источника или у единственного поставщика (подрядчика, исполнителя) может осуществляться посредством использования </w:t>
      </w:r>
      <w:r w:rsidRPr="00B10FB4">
        <w:rPr>
          <w:rFonts w:ascii="Times New Roman" w:hAnsi="Times New Roman" w:cs="Times New Roman"/>
          <w:sz w:val="24"/>
          <w:szCs w:val="24"/>
          <w:lang w:val="be-BY"/>
        </w:rPr>
        <w:t xml:space="preserve">информационных площадок </w:t>
      </w:r>
      <w:r w:rsidRPr="00B10FB4">
        <w:rPr>
          <w:rFonts w:ascii="Times New Roman" w:hAnsi="Times New Roman" w:cs="Times New Roman"/>
          <w:sz w:val="24"/>
          <w:szCs w:val="24"/>
        </w:rPr>
        <w:t>в глобальной компьютерной сети Интернет (</w:t>
      </w:r>
      <w:r w:rsidRPr="00B10FB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0F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0FB4">
        <w:rPr>
          <w:rFonts w:ascii="Times New Roman" w:hAnsi="Times New Roman" w:cs="Times New Roman"/>
          <w:sz w:val="24"/>
          <w:szCs w:val="24"/>
          <w:lang w:val="en-US"/>
        </w:rPr>
        <w:t>onliner</w:t>
      </w:r>
      <w:proofErr w:type="spellEnd"/>
      <w:r w:rsidRPr="00B10FB4">
        <w:rPr>
          <w:rFonts w:ascii="Times New Roman" w:hAnsi="Times New Roman" w:cs="Times New Roman"/>
          <w:sz w:val="24"/>
          <w:szCs w:val="24"/>
        </w:rPr>
        <w:t>.</w:t>
      </w:r>
      <w:r w:rsidRPr="00B10FB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10FB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Процедура закупки из одного источника либо у единственного поставщика (исполнителя, подрядчика) применяется независимо от суммы закупки без изучения конъюнктуры рынка в случаях: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приобретения услуг водоснабжения, водоотведения, канализации, теплоснабжения, энергоснабжения, а также иных товаров (работ, услуг), относящихся к сфере деятельности субъектов естественных монополий;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приобретения работ или услуг, выполнение или оказание которых может осуществляться исключительно органами исполнительной власти Республики Беларусь или подведомственными им государственными учреждениями, государственными (унитарными) предприятиями, соответствующие полномочия которых устанавливаются законодательством;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осуществления подписки на определенные периодические печатные и электронные издания, а также приобретения печатных и электронных изданий определенных авторов, услуг по предоставлению доступа к электронным изданиям для обеспечения деятельности Аудиторской палаты;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приобретения материалов выставок, семинаров, конференций, совещаний, форумов, симпозиумов, тренингов и др., а также оплаты за участие в указанных мероприятиях;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приобретения услуг, связанных с направлением работников Аудиторской палаты в служебные командировки;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приобретения услуг, связанных с организацией и проведением Аудиторской палатой официальных мероприятий (гостиничное, транспортное обслуживание, эксплуатация компьютерного оборудования, аренда залов, обеспечение питания и другое);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приобретения товаров (работ, услуг), которые имеются в наличии или производятся только единственным поставщиком (исполнителем, подрядчиком);</w:t>
      </w:r>
    </w:p>
    <w:p w:rsidR="003C78D4" w:rsidRPr="00B10FB4" w:rsidRDefault="003C78D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признания иных процедур закупок несостоявшимися.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lastRenderedPageBreak/>
        <w:t>Инициирование закупки осуществляется заместителем Председателя Аудиторской палаты или членом Правления Аудиторской палаты в виде докладной записки на имя Председателя Аудиторской палаты, включающей следующую информацию:</w:t>
      </w:r>
    </w:p>
    <w:p w:rsidR="003C78D4" w:rsidRPr="00B10FB4" w:rsidRDefault="003C78D4" w:rsidP="00F64604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>краткое обоснование необходимости закупки;</w:t>
      </w:r>
    </w:p>
    <w:p w:rsidR="003C78D4" w:rsidRPr="00B10FB4" w:rsidRDefault="003C78D4" w:rsidP="00F64604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наименование и количество (объем) подлежащих закупке товаров (работ, услуг);</w:t>
      </w:r>
    </w:p>
    <w:p w:rsidR="003C78D4" w:rsidRPr="00B10FB4" w:rsidRDefault="003C78D4" w:rsidP="00F64604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ориентировочная стоимость закупки;</w:t>
      </w:r>
    </w:p>
    <w:p w:rsidR="003C78D4" w:rsidRPr="00B10FB4" w:rsidRDefault="003B08BE" w:rsidP="00F64604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вид процедуры </w:t>
      </w:r>
      <w:r w:rsidR="003C78D4" w:rsidRPr="00B10FB4">
        <w:rPr>
          <w:sz w:val="24"/>
          <w:szCs w:val="24"/>
          <w:lang w:val="ru-RU"/>
        </w:rPr>
        <w:t>закупки</w:t>
      </w:r>
      <w:r w:rsidR="003C78D4" w:rsidRPr="00B10FB4">
        <w:rPr>
          <w:sz w:val="24"/>
          <w:szCs w:val="24"/>
        </w:rPr>
        <w:t>;</w:t>
      </w:r>
    </w:p>
    <w:p w:rsidR="003C78D4" w:rsidRPr="00B10FB4" w:rsidRDefault="003C78D4" w:rsidP="00F64604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 необходимости требования, предъявляемые к товарам (работам, услугам), срок поставки </w:t>
      </w:r>
      <w:r w:rsidRPr="00B10FB4">
        <w:rPr>
          <w:sz w:val="24"/>
          <w:szCs w:val="24"/>
          <w:lang w:val="ru-RU"/>
        </w:rPr>
        <w:t>товара</w:t>
      </w:r>
      <w:r w:rsidRPr="00B10FB4">
        <w:rPr>
          <w:sz w:val="24"/>
          <w:szCs w:val="24"/>
        </w:rPr>
        <w:t xml:space="preserve"> (выполнения работ, оказания услуг), условия оплаты, </w:t>
      </w:r>
      <w:r w:rsidR="003B08BE" w:rsidRPr="00B10FB4">
        <w:rPr>
          <w:rFonts w:eastAsiaTheme="minorHAnsi"/>
          <w:sz w:val="24"/>
          <w:szCs w:val="24"/>
          <w:lang w:val="ru-RU" w:eastAsia="en-US"/>
        </w:rPr>
        <w:t>требования к</w:t>
      </w:r>
      <w:r w:rsidRPr="00B10FB4">
        <w:rPr>
          <w:rFonts w:eastAsiaTheme="minorHAnsi"/>
          <w:sz w:val="24"/>
          <w:szCs w:val="24"/>
          <w:lang w:val="ru-RU" w:eastAsia="en-US"/>
        </w:rPr>
        <w:t xml:space="preserve"> поставщику (подрядчику, исполнителю)</w:t>
      </w:r>
      <w:r w:rsidRPr="00B10FB4">
        <w:rPr>
          <w:sz w:val="24"/>
          <w:szCs w:val="24"/>
          <w:lang w:val="ru-RU"/>
        </w:rPr>
        <w:t>, а также иные критерии</w:t>
      </w:r>
      <w:r w:rsidRPr="00B10FB4">
        <w:rPr>
          <w:sz w:val="24"/>
          <w:szCs w:val="24"/>
        </w:rPr>
        <w:t>;</w:t>
      </w:r>
    </w:p>
    <w:p w:rsidR="003C78D4" w:rsidRPr="00B10FB4" w:rsidRDefault="003C78D4" w:rsidP="00F64604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  <w:lang w:val="ru-RU"/>
        </w:rPr>
        <w:t>предложения</w:t>
      </w:r>
      <w:r w:rsidRPr="00B10FB4">
        <w:rPr>
          <w:sz w:val="24"/>
          <w:szCs w:val="24"/>
        </w:rPr>
        <w:t xml:space="preserve"> о </w:t>
      </w:r>
      <w:r w:rsidRPr="00B10FB4">
        <w:rPr>
          <w:sz w:val="24"/>
          <w:szCs w:val="24"/>
          <w:lang w:val="ru-RU"/>
        </w:rPr>
        <w:t>выборе</w:t>
      </w:r>
      <w:r w:rsidRPr="00B10FB4">
        <w:rPr>
          <w:sz w:val="24"/>
          <w:szCs w:val="24"/>
        </w:rPr>
        <w:t xml:space="preserve"> поставщика</w:t>
      </w:r>
      <w:r w:rsidRPr="00B10FB4">
        <w:rPr>
          <w:sz w:val="24"/>
          <w:szCs w:val="24"/>
          <w:lang w:val="ru-RU"/>
        </w:rPr>
        <w:t xml:space="preserve"> (подрядчика, исполнителя)</w:t>
      </w:r>
      <w:r w:rsidRPr="00B10FB4">
        <w:rPr>
          <w:sz w:val="24"/>
          <w:szCs w:val="24"/>
        </w:rPr>
        <w:t xml:space="preserve"> (наименование</w:t>
      </w:r>
      <w:r w:rsidRPr="00B10FB4">
        <w:rPr>
          <w:sz w:val="24"/>
          <w:szCs w:val="24"/>
          <w:lang w:val="ru-RU"/>
        </w:rPr>
        <w:t xml:space="preserve">, </w:t>
      </w:r>
      <w:r w:rsidRPr="00B10FB4">
        <w:rPr>
          <w:sz w:val="24"/>
          <w:szCs w:val="24"/>
        </w:rPr>
        <w:t xml:space="preserve">место нахождения) </w:t>
      </w:r>
      <w:r w:rsidRPr="00B10FB4">
        <w:rPr>
          <w:sz w:val="24"/>
          <w:szCs w:val="24"/>
          <w:lang w:val="ru-RU"/>
        </w:rPr>
        <w:t xml:space="preserve">– </w:t>
      </w:r>
      <w:r w:rsidRPr="00B10FB4">
        <w:rPr>
          <w:sz w:val="24"/>
          <w:szCs w:val="24"/>
        </w:rPr>
        <w:t>при проведении процедуры закупки из одного источника</w:t>
      </w:r>
      <w:r w:rsidRPr="00B10FB4">
        <w:rPr>
          <w:sz w:val="24"/>
          <w:szCs w:val="24"/>
          <w:lang w:val="ru-RU"/>
        </w:rPr>
        <w:t xml:space="preserve"> или у единственного поставщика (подрядчика, исполнителя)</w:t>
      </w:r>
      <w:r w:rsidRPr="00B10FB4">
        <w:rPr>
          <w:sz w:val="24"/>
          <w:szCs w:val="24"/>
        </w:rPr>
        <w:t>;</w:t>
      </w:r>
    </w:p>
    <w:p w:rsidR="003C78D4" w:rsidRPr="00B10FB4" w:rsidRDefault="003C78D4" w:rsidP="00F64604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при необходимости иные сведения.</w:t>
      </w:r>
    </w:p>
    <w:p w:rsidR="003C78D4" w:rsidRPr="00B10FB4" w:rsidRDefault="003C78D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При выборе поставщика (подрядчика, исполнителя) (за исключением случаев применения процедуры запроса ценовых предложений), помимо критерия цены, могут приниматься во внимание в том числе следующие критерии: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технические показатели (характеристики, условия) товара (работы, услуги);</w:t>
      </w:r>
    </w:p>
    <w:p w:rsidR="003F3CA8" w:rsidRPr="00B10FB4" w:rsidRDefault="00F64604" w:rsidP="00556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соответствие товара (работы, услуги) установленным требованиям к качеству;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срок и условия передачи товара (выполнения работы, оказания услуги);</w:t>
      </w:r>
    </w:p>
    <w:p w:rsidR="00F64604" w:rsidRPr="00B10FB4" w:rsidRDefault="00F64604" w:rsidP="00F64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условия оплаты товара (работы, услуги);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информация о товаре (работе, услуге), содержащаяся в обзорах товара и отзывах пользователей о товаре (работе, услуге);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гарантийные условия в отношении товара (работы, услуги);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новизна модельного ряда (в отношении товара);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репутация производителя товара (подрядчика, исполнителя);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опыт, рейтинг и продолжительность присутствия на рынке соответствующего поставщика (подрядчика, исполнителя),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– иные критерии в зависимости от фактических обстоятельств и специфики закупаемых товаров (работ, услуг).</w:t>
      </w:r>
    </w:p>
    <w:p w:rsidR="00F64604" w:rsidRPr="00B10FB4" w:rsidRDefault="00F64604" w:rsidP="00F64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Соотношение указанных выше и иных критериев определяется в каждом конкретном случае закупки товаров (работ, услуг) индивидуально на этапе инициирования закупки либо при принятии решения о закупке, исходя из фактических обстоятельств и специфики закупаемых товаров (работ, услуг).</w:t>
      </w:r>
    </w:p>
    <w:p w:rsidR="003C78D4" w:rsidRPr="00B10FB4" w:rsidRDefault="00F6460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Решение о закупке на сумму, не превышающую пятисот базовых величин, принимается, а договор с поставщиком (подрядчиком, исполнителем), выбранным в результате проведенной процедуры закупки, на сумму, не превышающую пятисот базовых величин, заключается Председателем Аудиторской палаты (в его отсутствие – заместителем председателя Аудиторской палаты) без согласования с Правлением Аудиторской палаты.</w:t>
      </w:r>
    </w:p>
    <w:p w:rsidR="003C78D4" w:rsidRPr="00B10FB4" w:rsidRDefault="00F64604" w:rsidP="00F646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B4">
        <w:rPr>
          <w:rFonts w:ascii="Times New Roman" w:hAnsi="Times New Roman" w:cs="Times New Roman"/>
          <w:sz w:val="24"/>
          <w:szCs w:val="24"/>
        </w:rPr>
        <w:t>Решение о закупке на сумму свыше пятисот базовых величин принимается, а договор с поставщиком (подрядчиком, исполнителем), выбранным в результате проведенной процедуры закупки, на сумму  свыше пятисот базовых величин заключается Председателем Аудиторской палаты (а в его отсутствие – заместителем председателя Аудиторской палаты) по согласованию с Правлением Аудиторской палаты.</w:t>
      </w:r>
    </w:p>
    <w:p w:rsidR="00F64604" w:rsidRPr="00B10FB4" w:rsidRDefault="00F6460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При возникновении обстоятельств, указывающих на необходимость осуществления закупки на сумму, превышающую 500 базовых величин, в Аудиторской палате создается Комиссия по закупкам, которая наделяется полномочиями на </w:t>
      </w:r>
      <w:r w:rsidRPr="00B10FB4">
        <w:rPr>
          <w:sz w:val="24"/>
          <w:szCs w:val="24"/>
        </w:rPr>
        <w:lastRenderedPageBreak/>
        <w:t>проведение процедур закупок и осуществляет свою деятельность в соответствии с законодательством, решениями Правления Аудиторской палаты, решениями (приказами) Председателя Аудиторской палаты, иными локальными правовыми актами Аудиторской палаты и настоящим Положением.</w:t>
      </w:r>
    </w:p>
    <w:p w:rsidR="00F64604" w:rsidRPr="00B10FB4" w:rsidRDefault="00F6460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 xml:space="preserve">В случае, когда ориентировочная стоимость предмета закупки, </w:t>
      </w:r>
      <w:r w:rsidR="00BB291B" w:rsidRPr="00B10FB4">
        <w:rPr>
          <w:sz w:val="24"/>
          <w:szCs w:val="24"/>
          <w:lang w:val="ru-RU"/>
        </w:rPr>
        <w:t>предполагаемая</w:t>
      </w:r>
      <w:r w:rsidRPr="00B10FB4">
        <w:rPr>
          <w:sz w:val="24"/>
          <w:szCs w:val="24"/>
        </w:rPr>
        <w:t xml:space="preserve"> на дату инициирования проведения закупки, не превыша</w:t>
      </w:r>
      <w:proofErr w:type="spellStart"/>
      <w:r w:rsidR="00BB291B" w:rsidRPr="00B10FB4">
        <w:rPr>
          <w:sz w:val="24"/>
          <w:szCs w:val="24"/>
          <w:lang w:val="ru-RU"/>
        </w:rPr>
        <w:t>ет</w:t>
      </w:r>
      <w:proofErr w:type="spellEnd"/>
      <w:r w:rsidRPr="00B10FB4">
        <w:rPr>
          <w:sz w:val="24"/>
          <w:szCs w:val="24"/>
        </w:rPr>
        <w:t xml:space="preserve"> 500 базовых величин либо 1 000 базовых величин, однако на момент принятия решения о закупке либо на момент заключения договора с поставщиком (подрядчиком, исполнителем), выбранным в результате проведенной процедуры закупки, изменилась и превысила сумму 500 базовых величин либо 1 000 базовых величин соответственно, то процедура закупки должна быть инициирована заново в соответствии с требованиями настоящего Положения.</w:t>
      </w:r>
    </w:p>
    <w:p w:rsidR="00F64604" w:rsidRPr="00B10FB4" w:rsidRDefault="00F64604" w:rsidP="00F64604">
      <w:pPr>
        <w:pStyle w:val="a3"/>
        <w:keepNext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B10FB4">
        <w:rPr>
          <w:b/>
          <w:sz w:val="24"/>
          <w:szCs w:val="24"/>
          <w:lang w:val="ru-RU"/>
        </w:rPr>
        <w:t>ОТЧЕТНОСТЬ И КОНТРОЛЬ.</w:t>
      </w:r>
    </w:p>
    <w:p w:rsidR="00F64604" w:rsidRPr="00B10FB4" w:rsidRDefault="00F6460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Управление имуществом Аудиторской палаты осуществляется в соответствии с законодательством, Уставом Аудиторской палаты, локальными правовыми актами Аудиторской палаты и решениями органов ее управления.</w:t>
      </w:r>
    </w:p>
    <w:p w:rsidR="00F64604" w:rsidRPr="00B10FB4" w:rsidRDefault="00F6460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Аудиторская палата осуществляет контроль за полнотой и своевременностью уплаты членами Аудиторской палаты взносов и иных платежей, предусмотренных локальными правовыми актами Аудиторской палаты, за целевым использованием полученных средств целевого финансирования, а также планирование и раздельный учет поступления и расходования средств целевого финансирования и доходов и расходов, связанных с осуществлением деятельности Аудиторской палаты.</w:t>
      </w:r>
    </w:p>
    <w:p w:rsidR="00F64604" w:rsidRPr="00B10FB4" w:rsidRDefault="00F6460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В соответствии с Уставом Аудиторской палаты контрольные функции в области управления имуществом Аудиторской палаты осуществляет контрольно-ревизионная комиссия Аудиторской палаты в рамках компетенции этого органа.</w:t>
      </w:r>
    </w:p>
    <w:p w:rsidR="00F64604" w:rsidRPr="00B10FB4" w:rsidRDefault="00F64604" w:rsidP="00F6460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10FB4">
        <w:rPr>
          <w:sz w:val="24"/>
          <w:szCs w:val="24"/>
        </w:rPr>
        <w:t>Сведения о формировании и использовании имущества Аудиторской палаты раскрываются в соответствии с требованиями законодательства и Устава Аудиторской палаты.</w:t>
      </w:r>
    </w:p>
    <w:sectPr w:rsidR="00F64604" w:rsidRPr="00B10FB4" w:rsidSect="00C11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A3" w:rsidRDefault="009A3CA3" w:rsidP="00F6145B">
      <w:pPr>
        <w:spacing w:after="0" w:line="240" w:lineRule="auto"/>
      </w:pPr>
      <w:r>
        <w:separator/>
      </w:r>
    </w:p>
  </w:endnote>
  <w:endnote w:type="continuationSeparator" w:id="0">
    <w:p w:rsidR="009A3CA3" w:rsidRDefault="009A3CA3" w:rsidP="00F6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B" w:rsidRDefault="00F614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B" w:rsidRDefault="00F614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B" w:rsidRDefault="00F614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A3" w:rsidRDefault="009A3CA3" w:rsidP="00F6145B">
      <w:pPr>
        <w:spacing w:after="0" w:line="240" w:lineRule="auto"/>
      </w:pPr>
      <w:r>
        <w:separator/>
      </w:r>
    </w:p>
  </w:footnote>
  <w:footnote w:type="continuationSeparator" w:id="0">
    <w:p w:rsidR="009A3CA3" w:rsidRDefault="009A3CA3" w:rsidP="00F6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B" w:rsidRDefault="00F614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B" w:rsidRDefault="00F614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5B" w:rsidRDefault="00F614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58D"/>
    <w:multiLevelType w:val="hybridMultilevel"/>
    <w:tmpl w:val="F20A035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C4E"/>
    <w:multiLevelType w:val="multilevel"/>
    <w:tmpl w:val="002288AE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95B5B68"/>
    <w:multiLevelType w:val="hybridMultilevel"/>
    <w:tmpl w:val="D996CE8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7016"/>
    <w:multiLevelType w:val="multilevel"/>
    <w:tmpl w:val="002288AE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CB12B7C"/>
    <w:multiLevelType w:val="hybridMultilevel"/>
    <w:tmpl w:val="CB74960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3A9E"/>
    <w:multiLevelType w:val="hybridMultilevel"/>
    <w:tmpl w:val="12500E5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A55"/>
    <w:multiLevelType w:val="hybridMultilevel"/>
    <w:tmpl w:val="E138AF7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81B40"/>
    <w:multiLevelType w:val="hybridMultilevel"/>
    <w:tmpl w:val="53E01E9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B0C27"/>
    <w:multiLevelType w:val="hybridMultilevel"/>
    <w:tmpl w:val="C6F898F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1C2B"/>
    <w:multiLevelType w:val="singleLevel"/>
    <w:tmpl w:val="A7ACD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B747D7"/>
    <w:multiLevelType w:val="multilevel"/>
    <w:tmpl w:val="002288AE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12E5E00"/>
    <w:multiLevelType w:val="multilevel"/>
    <w:tmpl w:val="BD68E1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B60C77"/>
    <w:multiLevelType w:val="multilevel"/>
    <w:tmpl w:val="002288AE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E824848"/>
    <w:multiLevelType w:val="hybridMultilevel"/>
    <w:tmpl w:val="5B4E1CD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616BC"/>
    <w:multiLevelType w:val="hybridMultilevel"/>
    <w:tmpl w:val="9D70467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25C9B"/>
    <w:multiLevelType w:val="multilevel"/>
    <w:tmpl w:val="002288AE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CF"/>
    <w:rsid w:val="00020741"/>
    <w:rsid w:val="000414FD"/>
    <w:rsid w:val="00065525"/>
    <w:rsid w:val="00067425"/>
    <w:rsid w:val="000C4B88"/>
    <w:rsid w:val="000D37D1"/>
    <w:rsid w:val="00105E4C"/>
    <w:rsid w:val="00110B2B"/>
    <w:rsid w:val="001126CD"/>
    <w:rsid w:val="0015237D"/>
    <w:rsid w:val="001646B3"/>
    <w:rsid w:val="00170ECA"/>
    <w:rsid w:val="00190A66"/>
    <w:rsid w:val="001A32D5"/>
    <w:rsid w:val="001D0A28"/>
    <w:rsid w:val="001D11B6"/>
    <w:rsid w:val="00220669"/>
    <w:rsid w:val="00222180"/>
    <w:rsid w:val="00227995"/>
    <w:rsid w:val="00260492"/>
    <w:rsid w:val="00267540"/>
    <w:rsid w:val="00273FD0"/>
    <w:rsid w:val="002A2325"/>
    <w:rsid w:val="002B4CCE"/>
    <w:rsid w:val="002C3791"/>
    <w:rsid w:val="002D21D7"/>
    <w:rsid w:val="002E3BE8"/>
    <w:rsid w:val="002F4E3C"/>
    <w:rsid w:val="002F76E1"/>
    <w:rsid w:val="00305B9B"/>
    <w:rsid w:val="00306D16"/>
    <w:rsid w:val="00356380"/>
    <w:rsid w:val="0039581E"/>
    <w:rsid w:val="003B08BE"/>
    <w:rsid w:val="003C78D4"/>
    <w:rsid w:val="003E41FB"/>
    <w:rsid w:val="003F0493"/>
    <w:rsid w:val="003F2896"/>
    <w:rsid w:val="003F3CA8"/>
    <w:rsid w:val="00407355"/>
    <w:rsid w:val="00422F18"/>
    <w:rsid w:val="0043586D"/>
    <w:rsid w:val="00437055"/>
    <w:rsid w:val="00453AD3"/>
    <w:rsid w:val="00470581"/>
    <w:rsid w:val="00481BDC"/>
    <w:rsid w:val="0048742C"/>
    <w:rsid w:val="00492D23"/>
    <w:rsid w:val="004B3FA9"/>
    <w:rsid w:val="004D3CDD"/>
    <w:rsid w:val="004D4085"/>
    <w:rsid w:val="004E7EB3"/>
    <w:rsid w:val="005167F9"/>
    <w:rsid w:val="00531FCC"/>
    <w:rsid w:val="00533559"/>
    <w:rsid w:val="00544421"/>
    <w:rsid w:val="00551EE5"/>
    <w:rsid w:val="0055629E"/>
    <w:rsid w:val="005568A8"/>
    <w:rsid w:val="005623D5"/>
    <w:rsid w:val="005626CF"/>
    <w:rsid w:val="00567D6F"/>
    <w:rsid w:val="00575AB2"/>
    <w:rsid w:val="0057643F"/>
    <w:rsid w:val="0058202A"/>
    <w:rsid w:val="00586698"/>
    <w:rsid w:val="0058706D"/>
    <w:rsid w:val="005A3F0E"/>
    <w:rsid w:val="005F56DF"/>
    <w:rsid w:val="00606575"/>
    <w:rsid w:val="006179D3"/>
    <w:rsid w:val="0064279B"/>
    <w:rsid w:val="0066384F"/>
    <w:rsid w:val="006676F6"/>
    <w:rsid w:val="006724AF"/>
    <w:rsid w:val="00677E8D"/>
    <w:rsid w:val="00680402"/>
    <w:rsid w:val="006A0BA3"/>
    <w:rsid w:val="006A0D0F"/>
    <w:rsid w:val="006A4F97"/>
    <w:rsid w:val="006B6F1E"/>
    <w:rsid w:val="006B6FDE"/>
    <w:rsid w:val="006C4D87"/>
    <w:rsid w:val="006D278E"/>
    <w:rsid w:val="006F28E6"/>
    <w:rsid w:val="006F3F12"/>
    <w:rsid w:val="007006B0"/>
    <w:rsid w:val="0070655B"/>
    <w:rsid w:val="00746B85"/>
    <w:rsid w:val="00772A3B"/>
    <w:rsid w:val="0077464E"/>
    <w:rsid w:val="007A69F2"/>
    <w:rsid w:val="007B40A0"/>
    <w:rsid w:val="007B4E4B"/>
    <w:rsid w:val="007C42B3"/>
    <w:rsid w:val="007C5869"/>
    <w:rsid w:val="007F0301"/>
    <w:rsid w:val="00801678"/>
    <w:rsid w:val="00816944"/>
    <w:rsid w:val="00817D7C"/>
    <w:rsid w:val="0082503F"/>
    <w:rsid w:val="00847E3D"/>
    <w:rsid w:val="00855ACE"/>
    <w:rsid w:val="00875625"/>
    <w:rsid w:val="0088150E"/>
    <w:rsid w:val="008A4644"/>
    <w:rsid w:val="008B62E1"/>
    <w:rsid w:val="008D2D49"/>
    <w:rsid w:val="008D5646"/>
    <w:rsid w:val="008E3A24"/>
    <w:rsid w:val="00902A74"/>
    <w:rsid w:val="0090418B"/>
    <w:rsid w:val="009162C1"/>
    <w:rsid w:val="00927B3A"/>
    <w:rsid w:val="00927BBE"/>
    <w:rsid w:val="00961A4D"/>
    <w:rsid w:val="00986052"/>
    <w:rsid w:val="009A3CA3"/>
    <w:rsid w:val="009C279F"/>
    <w:rsid w:val="009C36E1"/>
    <w:rsid w:val="009E598F"/>
    <w:rsid w:val="009E5B26"/>
    <w:rsid w:val="00A0153A"/>
    <w:rsid w:val="00A77991"/>
    <w:rsid w:val="00AB1C28"/>
    <w:rsid w:val="00AC64A2"/>
    <w:rsid w:val="00AE046F"/>
    <w:rsid w:val="00AF7865"/>
    <w:rsid w:val="00B10FB4"/>
    <w:rsid w:val="00B5154B"/>
    <w:rsid w:val="00B73D84"/>
    <w:rsid w:val="00B82779"/>
    <w:rsid w:val="00BB291B"/>
    <w:rsid w:val="00BD18F8"/>
    <w:rsid w:val="00C11926"/>
    <w:rsid w:val="00C27FD3"/>
    <w:rsid w:val="00C507C5"/>
    <w:rsid w:val="00C5332E"/>
    <w:rsid w:val="00C914D3"/>
    <w:rsid w:val="00C95630"/>
    <w:rsid w:val="00CB5E2C"/>
    <w:rsid w:val="00CC50CA"/>
    <w:rsid w:val="00D16C55"/>
    <w:rsid w:val="00D31B39"/>
    <w:rsid w:val="00D50B8A"/>
    <w:rsid w:val="00D66845"/>
    <w:rsid w:val="00D86349"/>
    <w:rsid w:val="00D92C13"/>
    <w:rsid w:val="00E33087"/>
    <w:rsid w:val="00E96047"/>
    <w:rsid w:val="00EC1BEE"/>
    <w:rsid w:val="00EE5E8E"/>
    <w:rsid w:val="00F007E1"/>
    <w:rsid w:val="00F07764"/>
    <w:rsid w:val="00F11140"/>
    <w:rsid w:val="00F421E5"/>
    <w:rsid w:val="00F5607A"/>
    <w:rsid w:val="00F6145B"/>
    <w:rsid w:val="00F64604"/>
    <w:rsid w:val="00F66F33"/>
    <w:rsid w:val="00F76E42"/>
    <w:rsid w:val="00FA3E6A"/>
    <w:rsid w:val="00FA678B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79324-F27B-4650-81DD-00275A98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customStyle="1" w:styleId="1">
    <w:name w:val="Утверждено 1"/>
    <w:basedOn w:val="a"/>
    <w:next w:val="a"/>
    <w:rsid w:val="005626CF"/>
    <w:pPr>
      <w:spacing w:after="0" w:line="360" w:lineRule="auto"/>
      <w:ind w:left="567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221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22218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F2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2896"/>
  </w:style>
  <w:style w:type="paragraph" w:styleId="a6">
    <w:name w:val="header"/>
    <w:basedOn w:val="a"/>
    <w:link w:val="a7"/>
    <w:uiPriority w:val="99"/>
    <w:unhideWhenUsed/>
    <w:rsid w:val="00F6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45B"/>
  </w:style>
  <w:style w:type="paragraph" w:styleId="a8">
    <w:name w:val="footer"/>
    <w:basedOn w:val="a"/>
    <w:link w:val="a9"/>
    <w:uiPriority w:val="99"/>
    <w:unhideWhenUsed/>
    <w:rsid w:val="00F6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45B"/>
  </w:style>
  <w:style w:type="paragraph" w:customStyle="1" w:styleId="ConsPlusNormal">
    <w:name w:val="ConsPlusNormal"/>
    <w:rsid w:val="00F11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669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669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8669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A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</cp:revision>
  <dcterms:created xsi:type="dcterms:W3CDTF">2022-03-09T21:04:00Z</dcterms:created>
  <dcterms:modified xsi:type="dcterms:W3CDTF">2022-03-09T21:04:00Z</dcterms:modified>
</cp:coreProperties>
</file>