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56" w:rsidRPr="00793563" w:rsidRDefault="008E3156" w:rsidP="008E315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910"/>
        <w:gridCol w:w="366"/>
        <w:gridCol w:w="2551"/>
      </w:tblGrid>
      <w:tr w:rsidR="008E3156" w:rsidRPr="00793563" w:rsidTr="003940E3">
        <w:trPr>
          <w:cantSplit/>
          <w:trHeight w:val="574"/>
        </w:trPr>
        <w:tc>
          <w:tcPr>
            <w:tcW w:w="7573" w:type="dxa"/>
            <w:gridSpan w:val="2"/>
            <w:vAlign w:val="center"/>
          </w:tcPr>
          <w:p w:rsidR="00BB021E" w:rsidRPr="00793563" w:rsidRDefault="008E3156" w:rsidP="003B4C45">
            <w:pPr>
              <w:pStyle w:val="a3"/>
              <w:ind w:firstLine="0"/>
              <w:jc w:val="left"/>
              <w:rPr>
                <w:rFonts w:cs="Arial"/>
                <w:smallCaps/>
                <w:sz w:val="20"/>
              </w:rPr>
            </w:pPr>
            <w:r w:rsidRPr="00793563">
              <w:rPr>
                <w:rFonts w:cs="Arial"/>
                <w:smallCaps/>
                <w:sz w:val="20"/>
              </w:rPr>
              <w:t xml:space="preserve">Протокол проведения обзора рабочих документов предыдущего аудита и результатов обсуждения итогов аудита, проведенного с предыдущим аудитором </w:t>
            </w:r>
          </w:p>
        </w:tc>
        <w:tc>
          <w:tcPr>
            <w:tcW w:w="366" w:type="dxa"/>
            <w:tcBorders>
              <w:top w:val="nil"/>
            </w:tcBorders>
          </w:tcPr>
          <w:p w:rsidR="008E3156" w:rsidRPr="00793563" w:rsidRDefault="008E3156" w:rsidP="00CF308B">
            <w:pPr>
              <w:pStyle w:val="a3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E3156" w:rsidRPr="00793563" w:rsidRDefault="008E3156" w:rsidP="00CF308B">
            <w:pPr>
              <w:pStyle w:val="a3"/>
              <w:ind w:firstLine="0"/>
              <w:rPr>
                <w:rFonts w:cs="Arial"/>
                <w:sz w:val="20"/>
              </w:rPr>
            </w:pPr>
            <w:r w:rsidRPr="00793563">
              <w:rPr>
                <w:rFonts w:cs="Arial"/>
                <w:sz w:val="20"/>
              </w:rPr>
              <w:t>Код документа</w:t>
            </w:r>
          </w:p>
        </w:tc>
      </w:tr>
      <w:tr w:rsidR="008E3156" w:rsidRPr="00793563" w:rsidTr="003940E3">
        <w:trPr>
          <w:cantSplit/>
        </w:trPr>
        <w:tc>
          <w:tcPr>
            <w:tcW w:w="6663" w:type="dxa"/>
          </w:tcPr>
          <w:p w:rsidR="008E3156" w:rsidRPr="00793563" w:rsidRDefault="008E3156" w:rsidP="008E3156">
            <w:pPr>
              <w:pStyle w:val="a3"/>
              <w:ind w:firstLine="0"/>
              <w:jc w:val="left"/>
              <w:rPr>
                <w:rFonts w:cs="Arial"/>
                <w:b w:val="0"/>
                <w:bCs/>
                <w:i/>
                <w:iCs/>
                <w:sz w:val="20"/>
              </w:rPr>
            </w:pPr>
            <w:r w:rsidRPr="00793563">
              <w:rPr>
                <w:rFonts w:cs="Arial"/>
                <w:b w:val="0"/>
                <w:sz w:val="20"/>
              </w:rPr>
              <w:t>Наименование Клиента</w:t>
            </w:r>
            <w:r w:rsidRPr="00793563">
              <w:rPr>
                <w:rFonts w:cs="Arial"/>
                <w:b w:val="0"/>
                <w:bCs/>
                <w:i/>
                <w:iCs/>
                <w:sz w:val="20"/>
              </w:rPr>
              <w:t xml:space="preserve"> </w:t>
            </w:r>
          </w:p>
          <w:p w:rsidR="00BB021E" w:rsidRPr="00793563" w:rsidRDefault="00BB021E" w:rsidP="008E3156">
            <w:pPr>
              <w:pStyle w:val="a3"/>
              <w:ind w:firstLine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vAlign w:val="center"/>
          </w:tcPr>
          <w:p w:rsidR="008E3156" w:rsidRPr="00793563" w:rsidRDefault="008E3156" w:rsidP="00CF308B">
            <w:pPr>
              <w:pStyle w:val="a3"/>
              <w:ind w:firstLine="0"/>
              <w:jc w:val="left"/>
              <w:rPr>
                <w:rFonts w:cs="Arial"/>
                <w:b w:val="0"/>
                <w:sz w:val="20"/>
                <w:lang w:val="en-US"/>
              </w:rPr>
            </w:pPr>
            <w:r w:rsidRPr="00793563">
              <w:rPr>
                <w:rFonts w:cs="Arial"/>
                <w:b w:val="0"/>
                <w:sz w:val="20"/>
              </w:rPr>
              <w:t xml:space="preserve">Предстоящий период аудита: </w:t>
            </w:r>
          </w:p>
          <w:p w:rsidR="0047162A" w:rsidRPr="00793563" w:rsidRDefault="0047162A" w:rsidP="00CF308B">
            <w:pPr>
              <w:pStyle w:val="a3"/>
              <w:ind w:firstLine="0"/>
              <w:jc w:val="left"/>
              <w:rPr>
                <w:rFonts w:cs="Arial"/>
                <w:b w:val="0"/>
                <w:sz w:val="20"/>
                <w:lang w:val="en-US"/>
              </w:rPr>
            </w:pPr>
          </w:p>
          <w:p w:rsidR="008E3156" w:rsidRPr="00793563" w:rsidRDefault="008E3156" w:rsidP="00CF308B">
            <w:pPr>
              <w:pStyle w:val="a3"/>
              <w:ind w:firstLine="0"/>
              <w:jc w:val="left"/>
              <w:rPr>
                <w:rFonts w:cs="Arial"/>
                <w:b w:val="0"/>
                <w:bCs/>
                <w:iCs/>
                <w:sz w:val="20"/>
              </w:rPr>
            </w:pPr>
          </w:p>
        </w:tc>
      </w:tr>
      <w:tr w:rsidR="008E3156" w:rsidRPr="00793563" w:rsidTr="003940E3">
        <w:trPr>
          <w:cantSplit/>
        </w:trPr>
        <w:tc>
          <w:tcPr>
            <w:tcW w:w="6663" w:type="dxa"/>
          </w:tcPr>
          <w:p w:rsidR="008E3156" w:rsidRPr="00793563" w:rsidRDefault="008E3156" w:rsidP="008E3156">
            <w:pPr>
              <w:pStyle w:val="a3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93563">
              <w:rPr>
                <w:rFonts w:cs="Arial"/>
                <w:b w:val="0"/>
                <w:sz w:val="20"/>
              </w:rPr>
              <w:t xml:space="preserve">Наименование аудиторской организации </w:t>
            </w:r>
            <w:r w:rsidR="00CC11BD">
              <w:rPr>
                <w:rFonts w:cs="Arial"/>
                <w:b w:val="0"/>
                <w:sz w:val="20"/>
              </w:rPr>
              <w:t>–</w:t>
            </w:r>
            <w:r w:rsidRPr="00793563">
              <w:rPr>
                <w:rFonts w:cs="Arial"/>
                <w:b w:val="0"/>
                <w:sz w:val="20"/>
              </w:rPr>
              <w:t xml:space="preserve"> Предыдущего аудитора</w:t>
            </w:r>
            <w:r w:rsidR="006F3993" w:rsidRPr="00793563">
              <w:rPr>
                <w:rFonts w:cs="Arial"/>
                <w:b w:val="0"/>
                <w:sz w:val="20"/>
              </w:rPr>
              <w:t>, адрес визита</w:t>
            </w:r>
            <w:r w:rsidRPr="00793563">
              <w:rPr>
                <w:rFonts w:cs="Arial"/>
                <w:b w:val="0"/>
                <w:sz w:val="20"/>
              </w:rPr>
              <w:t xml:space="preserve"> </w:t>
            </w:r>
          </w:p>
          <w:p w:rsidR="008E3156" w:rsidRPr="00793563" w:rsidRDefault="008E3156" w:rsidP="008E3156">
            <w:pPr>
              <w:pStyle w:val="a3"/>
              <w:ind w:firstLine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E3156" w:rsidRPr="00793563" w:rsidRDefault="008E3156" w:rsidP="00CF308B">
            <w:pPr>
              <w:pStyle w:val="a3"/>
              <w:ind w:firstLine="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8E3156" w:rsidRPr="00793563" w:rsidTr="003940E3">
        <w:trPr>
          <w:cantSplit/>
        </w:trPr>
        <w:tc>
          <w:tcPr>
            <w:tcW w:w="6663" w:type="dxa"/>
          </w:tcPr>
          <w:p w:rsidR="008E3156" w:rsidRPr="00793563" w:rsidRDefault="008E3156" w:rsidP="008E3156">
            <w:pPr>
              <w:pStyle w:val="a3"/>
              <w:ind w:firstLine="0"/>
              <w:jc w:val="left"/>
              <w:rPr>
                <w:rFonts w:cs="Arial"/>
                <w:b w:val="0"/>
                <w:sz w:val="20"/>
              </w:rPr>
            </w:pPr>
            <w:r w:rsidRPr="00793563">
              <w:rPr>
                <w:rFonts w:cs="Arial"/>
                <w:b w:val="0"/>
                <w:sz w:val="20"/>
              </w:rPr>
              <w:t xml:space="preserve">ФИО участников встречи со стороны предыдущего аудитора </w:t>
            </w:r>
          </w:p>
          <w:p w:rsidR="008E3156" w:rsidRPr="00793563" w:rsidRDefault="008E3156" w:rsidP="008E3156">
            <w:pPr>
              <w:pStyle w:val="a3"/>
              <w:ind w:firstLine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vAlign w:val="center"/>
          </w:tcPr>
          <w:p w:rsidR="008E3156" w:rsidRPr="00793563" w:rsidRDefault="008E3156" w:rsidP="00CF308B">
            <w:pPr>
              <w:pStyle w:val="a3"/>
              <w:ind w:firstLine="0"/>
              <w:jc w:val="left"/>
              <w:rPr>
                <w:rFonts w:cs="Arial"/>
                <w:b w:val="0"/>
                <w:bCs/>
                <w:iCs/>
                <w:sz w:val="20"/>
                <w:lang w:val="en-US"/>
              </w:rPr>
            </w:pPr>
            <w:r w:rsidRPr="00793563">
              <w:rPr>
                <w:rFonts w:cs="Arial"/>
                <w:b w:val="0"/>
                <w:bCs/>
                <w:iCs/>
                <w:sz w:val="20"/>
              </w:rPr>
              <w:t xml:space="preserve"> Обсуждаемый период аудита: </w:t>
            </w:r>
          </w:p>
          <w:p w:rsidR="0047162A" w:rsidRPr="00793563" w:rsidRDefault="0047162A" w:rsidP="00CF308B">
            <w:pPr>
              <w:pStyle w:val="a3"/>
              <w:ind w:firstLine="0"/>
              <w:jc w:val="left"/>
              <w:rPr>
                <w:rFonts w:cs="Arial"/>
                <w:b w:val="0"/>
                <w:bCs/>
                <w:iCs/>
                <w:sz w:val="20"/>
                <w:lang w:val="en-US"/>
              </w:rPr>
            </w:pPr>
          </w:p>
        </w:tc>
      </w:tr>
      <w:tr w:rsidR="008E3156" w:rsidRPr="00793563" w:rsidTr="003940E3">
        <w:trPr>
          <w:cantSplit/>
        </w:trPr>
        <w:tc>
          <w:tcPr>
            <w:tcW w:w="6663" w:type="dxa"/>
          </w:tcPr>
          <w:p w:rsidR="008E3156" w:rsidRPr="00793563" w:rsidRDefault="00BB021E" w:rsidP="008E3156">
            <w:pPr>
              <w:pStyle w:val="a3"/>
              <w:ind w:firstLine="0"/>
              <w:jc w:val="left"/>
              <w:rPr>
                <w:rFonts w:cs="Arial"/>
                <w:b w:val="0"/>
                <w:bCs/>
                <w:iCs/>
                <w:sz w:val="20"/>
              </w:rPr>
            </w:pPr>
            <w:r w:rsidRPr="00793563">
              <w:rPr>
                <w:rFonts w:cs="Arial"/>
                <w:b w:val="0"/>
                <w:bCs/>
                <w:iCs/>
                <w:sz w:val="20"/>
              </w:rPr>
              <w:t>Дата встречи:</w:t>
            </w:r>
          </w:p>
        </w:tc>
        <w:tc>
          <w:tcPr>
            <w:tcW w:w="3827" w:type="dxa"/>
            <w:gridSpan w:val="3"/>
            <w:vMerge/>
          </w:tcPr>
          <w:p w:rsidR="008E3156" w:rsidRPr="00793563" w:rsidRDefault="008E3156" w:rsidP="00CF308B">
            <w:pPr>
              <w:pStyle w:val="a3"/>
              <w:jc w:val="left"/>
              <w:rPr>
                <w:rFonts w:cs="Arial"/>
                <w:sz w:val="20"/>
              </w:rPr>
            </w:pPr>
          </w:p>
        </w:tc>
      </w:tr>
    </w:tbl>
    <w:p w:rsidR="008E3156" w:rsidRPr="00793563" w:rsidRDefault="008E3156" w:rsidP="008E3156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4431"/>
        <w:gridCol w:w="1385"/>
        <w:gridCol w:w="3734"/>
      </w:tblGrid>
      <w:tr w:rsidR="00BB021E" w:rsidRPr="00793563" w:rsidTr="003940E3">
        <w:tc>
          <w:tcPr>
            <w:tcW w:w="338" w:type="pct"/>
          </w:tcPr>
          <w:p w:rsidR="008E3156" w:rsidRPr="00793563" w:rsidRDefault="008E3156" w:rsidP="00CF3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563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63" w:type="pct"/>
            <w:vAlign w:val="center"/>
          </w:tcPr>
          <w:p w:rsidR="008E3156" w:rsidRPr="00793563" w:rsidRDefault="008E3156" w:rsidP="00CF308B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>Вопрос к обсуждению</w:t>
            </w:r>
          </w:p>
        </w:tc>
        <w:tc>
          <w:tcPr>
            <w:tcW w:w="676" w:type="pct"/>
            <w:vAlign w:val="center"/>
          </w:tcPr>
          <w:p w:rsidR="008E3156" w:rsidRPr="00793563" w:rsidRDefault="008E3156" w:rsidP="00CB584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Дата, ФИО </w:t>
            </w:r>
          </w:p>
          <w:p w:rsidR="006F3993" w:rsidRDefault="006F3993" w:rsidP="006F39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93563">
              <w:rPr>
                <w:rFonts w:ascii="Arial" w:hAnsi="Arial" w:cs="Arial"/>
                <w:b/>
                <w:bCs/>
                <w:sz w:val="20"/>
                <w:szCs w:val="20"/>
              </w:rPr>
              <w:t>с кем обсуждали</w:t>
            </w:r>
          </w:p>
          <w:p w:rsidR="00CB5840" w:rsidRPr="00CB5840" w:rsidRDefault="00CB5840" w:rsidP="006F39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24" w:type="pct"/>
            <w:vAlign w:val="center"/>
          </w:tcPr>
          <w:p w:rsidR="006F3993" w:rsidRPr="00793563" w:rsidRDefault="008E3156" w:rsidP="006F3993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>Комментарии, выводы</w:t>
            </w:r>
            <w:r w:rsidR="006F3993" w:rsidRPr="0079356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E3156" w:rsidRPr="00793563" w:rsidRDefault="008E3156" w:rsidP="006F3993">
            <w:pPr>
              <w:pStyle w:val="3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 xml:space="preserve">ссылки на копии рабочих документов </w:t>
            </w:r>
          </w:p>
        </w:tc>
      </w:tr>
      <w:tr w:rsidR="00BB021E" w:rsidRPr="00793563" w:rsidTr="003940E3">
        <w:trPr>
          <w:trHeight w:val="453"/>
        </w:trPr>
        <w:tc>
          <w:tcPr>
            <w:tcW w:w="338" w:type="pct"/>
          </w:tcPr>
          <w:p w:rsidR="008E3156" w:rsidRPr="00793563" w:rsidRDefault="008E3156" w:rsidP="003B4C45">
            <w:pPr>
              <w:pStyle w:val="aa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:rsidR="008E3156" w:rsidRPr="00793563" w:rsidRDefault="008E3156" w:rsidP="006F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 xml:space="preserve">Честность </w:t>
            </w:r>
            <w:r w:rsidR="00C02AB1" w:rsidRPr="00793563">
              <w:rPr>
                <w:rFonts w:ascii="Arial" w:hAnsi="Arial" w:cs="Arial"/>
                <w:sz w:val="20"/>
                <w:szCs w:val="20"/>
              </w:rPr>
              <w:t xml:space="preserve">и добросовестность </w:t>
            </w:r>
            <w:r w:rsidRPr="00793563">
              <w:rPr>
                <w:rFonts w:ascii="Arial" w:hAnsi="Arial" w:cs="Arial"/>
                <w:sz w:val="20"/>
                <w:szCs w:val="20"/>
              </w:rPr>
              <w:t>руководства и лиц, отвечающих за корпоративное управление</w:t>
            </w:r>
            <w:r w:rsidR="00BB021E" w:rsidRPr="00793563">
              <w:rPr>
                <w:rFonts w:ascii="Arial" w:hAnsi="Arial" w:cs="Arial"/>
                <w:sz w:val="20"/>
                <w:szCs w:val="20"/>
              </w:rPr>
              <w:t xml:space="preserve"> Клиента </w:t>
            </w:r>
          </w:p>
        </w:tc>
        <w:tc>
          <w:tcPr>
            <w:tcW w:w="676" w:type="pct"/>
          </w:tcPr>
          <w:p w:rsidR="008E3156" w:rsidRPr="00793563" w:rsidRDefault="008E3156" w:rsidP="00CF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</w:tcPr>
          <w:p w:rsidR="008E3156" w:rsidRPr="00793563" w:rsidRDefault="008E3156" w:rsidP="00CF308B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21E" w:rsidRPr="00793563" w:rsidTr="003940E3">
        <w:tc>
          <w:tcPr>
            <w:tcW w:w="338" w:type="pct"/>
          </w:tcPr>
          <w:p w:rsidR="008E3156" w:rsidRPr="00793563" w:rsidRDefault="008E3156" w:rsidP="006F399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:rsidR="008E3156" w:rsidRPr="00793563" w:rsidRDefault="008E3156" w:rsidP="006F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 xml:space="preserve">Наличие разногласий с </w:t>
            </w:r>
            <w:r w:rsidR="00BB021E" w:rsidRPr="00793563">
              <w:rPr>
                <w:rFonts w:ascii="Arial" w:hAnsi="Arial" w:cs="Arial"/>
                <w:sz w:val="20"/>
                <w:szCs w:val="20"/>
              </w:rPr>
              <w:t>руководством К</w:t>
            </w:r>
            <w:r w:rsidRPr="00793563">
              <w:rPr>
                <w:rFonts w:ascii="Arial" w:hAnsi="Arial" w:cs="Arial"/>
                <w:sz w:val="20"/>
                <w:szCs w:val="20"/>
              </w:rPr>
              <w:t>лиент</w:t>
            </w:r>
            <w:r w:rsidR="00BB021E" w:rsidRPr="00793563">
              <w:rPr>
                <w:rFonts w:ascii="Arial" w:hAnsi="Arial" w:cs="Arial"/>
                <w:sz w:val="20"/>
                <w:szCs w:val="20"/>
              </w:rPr>
              <w:t>а</w:t>
            </w:r>
            <w:r w:rsidRPr="00793563">
              <w:rPr>
                <w:rFonts w:ascii="Arial" w:hAnsi="Arial" w:cs="Arial"/>
                <w:sz w:val="20"/>
                <w:szCs w:val="20"/>
              </w:rPr>
              <w:t xml:space="preserve"> относительно Учетных политик для целей бухгалтерского и налогового учета</w:t>
            </w:r>
          </w:p>
        </w:tc>
        <w:tc>
          <w:tcPr>
            <w:tcW w:w="676" w:type="pct"/>
          </w:tcPr>
          <w:p w:rsidR="008E3156" w:rsidRPr="00793563" w:rsidRDefault="008E3156" w:rsidP="00CF308B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</w:tcPr>
          <w:p w:rsidR="008E3156" w:rsidRPr="00793563" w:rsidRDefault="008E3156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993" w:rsidRPr="00793563" w:rsidTr="003940E3">
        <w:tc>
          <w:tcPr>
            <w:tcW w:w="338" w:type="pct"/>
          </w:tcPr>
          <w:p w:rsidR="00BB021E" w:rsidRPr="00793563" w:rsidRDefault="00BB021E" w:rsidP="006F399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:rsidR="00BB021E" w:rsidRPr="00793563" w:rsidRDefault="00BB021E" w:rsidP="006F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>Наличие разногласий с руководством Клиента по другим значимым вопросам аудита</w:t>
            </w:r>
          </w:p>
        </w:tc>
        <w:tc>
          <w:tcPr>
            <w:tcW w:w="676" w:type="pct"/>
          </w:tcPr>
          <w:p w:rsidR="00BB021E" w:rsidRPr="00793563" w:rsidRDefault="00BB021E" w:rsidP="00CF308B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</w:tcPr>
          <w:p w:rsidR="00BB021E" w:rsidRPr="00793563" w:rsidRDefault="00BB021E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B021E" w:rsidRPr="00793563" w:rsidTr="003940E3">
        <w:trPr>
          <w:trHeight w:val="647"/>
        </w:trPr>
        <w:tc>
          <w:tcPr>
            <w:tcW w:w="338" w:type="pct"/>
          </w:tcPr>
          <w:p w:rsidR="008E3156" w:rsidRPr="00793563" w:rsidRDefault="008E3156" w:rsidP="006F399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:rsidR="008E3156" w:rsidRPr="00793563" w:rsidRDefault="008E3156" w:rsidP="006F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>Наличие факторов недобросовестного поведения руководства</w:t>
            </w:r>
            <w:r w:rsidR="00BB021E" w:rsidRPr="00793563">
              <w:rPr>
                <w:rFonts w:ascii="Arial" w:hAnsi="Arial" w:cs="Arial"/>
                <w:sz w:val="20"/>
                <w:szCs w:val="20"/>
              </w:rPr>
              <w:t xml:space="preserve"> и лиц, отвечающих за корпоративное управление</w:t>
            </w:r>
          </w:p>
        </w:tc>
        <w:tc>
          <w:tcPr>
            <w:tcW w:w="676" w:type="pct"/>
          </w:tcPr>
          <w:p w:rsidR="008E3156" w:rsidRPr="00793563" w:rsidRDefault="008E3156" w:rsidP="00CF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</w:tcPr>
          <w:p w:rsidR="008E3156" w:rsidRPr="00793563" w:rsidRDefault="008E3156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B021E" w:rsidRPr="00793563" w:rsidTr="003940E3">
        <w:trPr>
          <w:trHeight w:val="711"/>
        </w:trPr>
        <w:tc>
          <w:tcPr>
            <w:tcW w:w="338" w:type="pct"/>
          </w:tcPr>
          <w:p w:rsidR="008E3156" w:rsidRPr="00793563" w:rsidRDefault="008E3156" w:rsidP="006F399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:rsidR="008E3156" w:rsidRPr="00793563" w:rsidRDefault="008E3156" w:rsidP="006F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>Наличие грубых недочетов в системе внутреннего контроля клиента</w:t>
            </w:r>
          </w:p>
        </w:tc>
        <w:tc>
          <w:tcPr>
            <w:tcW w:w="676" w:type="pct"/>
          </w:tcPr>
          <w:p w:rsidR="008E3156" w:rsidRPr="00793563" w:rsidRDefault="008E3156" w:rsidP="00CF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</w:tcPr>
          <w:p w:rsidR="008E3156" w:rsidRPr="00793563" w:rsidRDefault="008E3156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993" w:rsidRPr="00793563" w:rsidTr="003940E3">
        <w:trPr>
          <w:trHeight w:val="711"/>
        </w:trPr>
        <w:tc>
          <w:tcPr>
            <w:tcW w:w="338" w:type="pct"/>
          </w:tcPr>
          <w:p w:rsidR="00BB021E" w:rsidRPr="00793563" w:rsidRDefault="00BB021E" w:rsidP="006F399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:rsidR="00BB021E" w:rsidRPr="00793563" w:rsidRDefault="00BB021E" w:rsidP="006F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 xml:space="preserve">Наличие задолженности за Клиентом по оказанным предыдущим аудитором услугам </w:t>
            </w:r>
          </w:p>
        </w:tc>
        <w:tc>
          <w:tcPr>
            <w:tcW w:w="676" w:type="pct"/>
          </w:tcPr>
          <w:p w:rsidR="00BB021E" w:rsidRPr="00793563" w:rsidRDefault="00BB021E" w:rsidP="00CF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</w:tcPr>
          <w:p w:rsidR="00BB021E" w:rsidRPr="00793563" w:rsidRDefault="00BB021E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B021E" w:rsidRPr="00793563" w:rsidTr="003940E3">
        <w:trPr>
          <w:trHeight w:val="535"/>
        </w:trPr>
        <w:tc>
          <w:tcPr>
            <w:tcW w:w="338" w:type="pct"/>
          </w:tcPr>
          <w:p w:rsidR="008E3156" w:rsidRPr="00793563" w:rsidRDefault="008E3156" w:rsidP="006F399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:rsidR="008E3156" w:rsidRPr="00793563" w:rsidRDefault="006F3993" w:rsidP="006F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>Другие</w:t>
            </w:r>
            <w:r w:rsidR="00CF308B" w:rsidRPr="00793563">
              <w:rPr>
                <w:rFonts w:ascii="Arial" w:hAnsi="Arial" w:cs="Arial"/>
                <w:sz w:val="20"/>
                <w:szCs w:val="20"/>
              </w:rPr>
              <w:t xml:space="preserve"> причины профессионального хара</w:t>
            </w:r>
            <w:r w:rsidRPr="00793563">
              <w:rPr>
                <w:rFonts w:ascii="Arial" w:hAnsi="Arial" w:cs="Arial"/>
                <w:sz w:val="20"/>
                <w:szCs w:val="20"/>
              </w:rPr>
              <w:t>к</w:t>
            </w:r>
            <w:r w:rsidR="00CF308B" w:rsidRPr="00793563">
              <w:rPr>
                <w:rFonts w:ascii="Arial" w:hAnsi="Arial" w:cs="Arial"/>
                <w:sz w:val="20"/>
                <w:szCs w:val="20"/>
              </w:rPr>
              <w:t>т</w:t>
            </w:r>
            <w:r w:rsidRPr="00793563">
              <w:rPr>
                <w:rFonts w:ascii="Arial" w:hAnsi="Arial" w:cs="Arial"/>
                <w:sz w:val="20"/>
                <w:szCs w:val="20"/>
              </w:rPr>
              <w:t xml:space="preserve">ера, которые не позволяют принять задание </w:t>
            </w:r>
          </w:p>
        </w:tc>
        <w:tc>
          <w:tcPr>
            <w:tcW w:w="676" w:type="pct"/>
          </w:tcPr>
          <w:p w:rsidR="008E3156" w:rsidRPr="00793563" w:rsidRDefault="008E3156" w:rsidP="00CF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</w:tcPr>
          <w:p w:rsidR="008E3156" w:rsidRPr="00793563" w:rsidRDefault="008E3156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B021E" w:rsidRPr="00793563" w:rsidTr="003940E3">
        <w:trPr>
          <w:trHeight w:val="597"/>
        </w:trPr>
        <w:tc>
          <w:tcPr>
            <w:tcW w:w="338" w:type="pct"/>
          </w:tcPr>
          <w:p w:rsidR="00BB021E" w:rsidRPr="00793563" w:rsidRDefault="00BB021E" w:rsidP="006F399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:rsidR="008E3156" w:rsidRPr="00793563" w:rsidRDefault="006F3993" w:rsidP="004273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 xml:space="preserve">Основные результаты по обзору рабочих бумаг, анализу отчета аудитора, </w:t>
            </w:r>
            <w:r w:rsidR="004273F1" w:rsidRPr="00793563">
              <w:rPr>
                <w:rFonts w:ascii="Arial" w:hAnsi="Arial" w:cs="Arial"/>
                <w:sz w:val="20"/>
                <w:szCs w:val="20"/>
              </w:rPr>
              <w:t xml:space="preserve">включая </w:t>
            </w:r>
            <w:r w:rsidRPr="00793563">
              <w:rPr>
                <w:rFonts w:ascii="Arial" w:hAnsi="Arial" w:cs="Arial"/>
                <w:sz w:val="20"/>
                <w:szCs w:val="20"/>
              </w:rPr>
              <w:t>замечания для предстоящего аудита, вопросы для планирования предстоящего аудита</w:t>
            </w:r>
            <w:r w:rsidR="004273F1" w:rsidRPr="00793563">
              <w:rPr>
                <w:rFonts w:ascii="Arial" w:hAnsi="Arial" w:cs="Arial"/>
                <w:sz w:val="20"/>
                <w:szCs w:val="20"/>
              </w:rPr>
              <w:t>, основные рисковые области аудита, тип выданного аудиторского заключения, существенные или значимые искажения и пр.</w:t>
            </w:r>
            <w:r w:rsidRPr="007935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:rsidR="008E3156" w:rsidRPr="00793563" w:rsidRDefault="008E3156" w:rsidP="00CF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</w:tcPr>
          <w:p w:rsidR="008E3156" w:rsidRPr="00793563" w:rsidRDefault="008E3156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993" w:rsidRPr="00793563" w:rsidTr="003940E3">
        <w:trPr>
          <w:trHeight w:val="597"/>
        </w:trPr>
        <w:tc>
          <w:tcPr>
            <w:tcW w:w="338" w:type="pct"/>
          </w:tcPr>
          <w:p w:rsidR="006F3993" w:rsidRPr="00793563" w:rsidRDefault="006F3993" w:rsidP="006F3993">
            <w:pPr>
              <w:pStyle w:val="a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:rsidR="006F3993" w:rsidRPr="00793563" w:rsidRDefault="006F3993" w:rsidP="006F3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563">
              <w:rPr>
                <w:rFonts w:ascii="Arial" w:hAnsi="Arial" w:cs="Arial"/>
                <w:sz w:val="20"/>
                <w:szCs w:val="20"/>
              </w:rPr>
              <w:t>Сбор доказательств по входящим остаткам и проверка сопоставимости данных за прошлый период</w:t>
            </w:r>
          </w:p>
        </w:tc>
        <w:tc>
          <w:tcPr>
            <w:tcW w:w="676" w:type="pct"/>
          </w:tcPr>
          <w:p w:rsidR="006F3993" w:rsidRPr="00793563" w:rsidRDefault="006F3993" w:rsidP="00CF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pct"/>
          </w:tcPr>
          <w:p w:rsidR="006F3993" w:rsidRPr="00793563" w:rsidRDefault="006F3993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3156" w:rsidRPr="00793563" w:rsidTr="003940E3">
        <w:trPr>
          <w:cantSplit/>
          <w:trHeight w:val="294"/>
        </w:trPr>
        <w:tc>
          <w:tcPr>
            <w:tcW w:w="5000" w:type="pct"/>
            <w:gridSpan w:val="4"/>
            <w:vAlign w:val="center"/>
          </w:tcPr>
          <w:p w:rsidR="008E3156" w:rsidRPr="00793563" w:rsidRDefault="008E3156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3993" w:rsidRPr="00793563" w:rsidTr="003940E3">
        <w:trPr>
          <w:trHeight w:val="1048"/>
        </w:trPr>
        <w:tc>
          <w:tcPr>
            <w:tcW w:w="5000" w:type="pct"/>
            <w:gridSpan w:val="4"/>
            <w:vAlign w:val="center"/>
          </w:tcPr>
          <w:p w:rsidR="006F3993" w:rsidRPr="00793563" w:rsidRDefault="006F3993" w:rsidP="00CF30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935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Подпись и ФИО руководителя группы, осуществляющей визит </w:t>
            </w:r>
          </w:p>
        </w:tc>
      </w:tr>
    </w:tbl>
    <w:p w:rsidR="00D702FD" w:rsidRPr="00793563" w:rsidRDefault="00D702FD" w:rsidP="008E315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702FD" w:rsidRPr="00793563" w:rsidSect="00CB5840">
      <w:pgSz w:w="11906" w:h="16838"/>
      <w:pgMar w:top="1134" w:right="850" w:bottom="1134" w:left="1701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59" w:rsidRDefault="00143359" w:rsidP="008E3156">
      <w:r>
        <w:separator/>
      </w:r>
    </w:p>
  </w:endnote>
  <w:endnote w:type="continuationSeparator" w:id="0">
    <w:p w:rsidR="00143359" w:rsidRDefault="00143359" w:rsidP="008E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59" w:rsidRDefault="00143359" w:rsidP="008E3156">
      <w:r>
        <w:separator/>
      </w:r>
    </w:p>
  </w:footnote>
  <w:footnote w:type="continuationSeparator" w:id="0">
    <w:p w:rsidR="00143359" w:rsidRDefault="00143359" w:rsidP="008E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10D8"/>
    <w:multiLevelType w:val="hybridMultilevel"/>
    <w:tmpl w:val="A89C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61B6"/>
    <w:multiLevelType w:val="hybridMultilevel"/>
    <w:tmpl w:val="97B8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56"/>
    <w:rsid w:val="000052FD"/>
    <w:rsid w:val="00022A07"/>
    <w:rsid w:val="0007305F"/>
    <w:rsid w:val="000852CD"/>
    <w:rsid w:val="00143359"/>
    <w:rsid w:val="00284B98"/>
    <w:rsid w:val="002B5B43"/>
    <w:rsid w:val="00337711"/>
    <w:rsid w:val="003940E3"/>
    <w:rsid w:val="003B4C45"/>
    <w:rsid w:val="004273F1"/>
    <w:rsid w:val="0047162A"/>
    <w:rsid w:val="00524161"/>
    <w:rsid w:val="0060151F"/>
    <w:rsid w:val="006F3993"/>
    <w:rsid w:val="00793563"/>
    <w:rsid w:val="008E3156"/>
    <w:rsid w:val="008F0AD2"/>
    <w:rsid w:val="009C222C"/>
    <w:rsid w:val="009E4F2B"/>
    <w:rsid w:val="00B27F43"/>
    <w:rsid w:val="00BB021E"/>
    <w:rsid w:val="00C02AB1"/>
    <w:rsid w:val="00C514C1"/>
    <w:rsid w:val="00C675A9"/>
    <w:rsid w:val="00CB5840"/>
    <w:rsid w:val="00CC11BD"/>
    <w:rsid w:val="00CF308B"/>
    <w:rsid w:val="00D44366"/>
    <w:rsid w:val="00D702FD"/>
    <w:rsid w:val="00D806D5"/>
    <w:rsid w:val="00DE159D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BB94A-B23D-461C-9226-0087AD8C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15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E3156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8E3156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31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315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8E3156"/>
    <w:pPr>
      <w:ind w:firstLine="567"/>
      <w:jc w:val="center"/>
    </w:pPr>
    <w:rPr>
      <w:rFonts w:ascii="Arial" w:hAnsi="Arial"/>
      <w:b/>
      <w:szCs w:val="20"/>
    </w:rPr>
  </w:style>
  <w:style w:type="character" w:customStyle="1" w:styleId="a4">
    <w:name w:val="Заголовок Знак"/>
    <w:basedOn w:val="a0"/>
    <w:link w:val="a3"/>
    <w:rsid w:val="008E315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8E31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3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8E3156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E3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8E3156"/>
    <w:rPr>
      <w:vertAlign w:val="superscript"/>
    </w:rPr>
  </w:style>
  <w:style w:type="paragraph" w:styleId="aa">
    <w:name w:val="List Paragraph"/>
    <w:basedOn w:val="a"/>
    <w:uiPriority w:val="34"/>
    <w:qFormat/>
    <w:rsid w:val="00BB021E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940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40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2020-09-12T15:28:00Z</dcterms:created>
  <dcterms:modified xsi:type="dcterms:W3CDTF">2020-09-12T15:28:00Z</dcterms:modified>
</cp:coreProperties>
</file>