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ПРОВЕРКА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АУДИТЕ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ФИНАНСОВОЙ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ОТЧЕТНОСТИ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147"/>
      <w:bookmarkEnd w:id="1"/>
      <w:bookmarkEnd w:id="0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111"/>
      <w:bookmarkEnd w:id="2"/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МАТУС</w:t>
      </w:r>
      <w:r>
        <w:rPr>
          <w:rFonts w:ascii="Arial" w:hAnsi="Arial" w:cs="Arial"/>
          <w:color w:val="000000"/>
        </w:rPr>
        <w:t>,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112"/>
      <w:bookmarkEnd w:id="3"/>
      <w:r>
        <w:rPr>
          <w:rFonts w:ascii="Arial" w:hAnsi="Arial" w:cs="Arial"/>
          <w:color w:val="000000"/>
        </w:rPr>
        <w:t>член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>,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4" w:name="113"/>
      <w:bookmarkEnd w:id="4"/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5" w:name="223"/>
      <w:bookmarkEnd w:id="5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внедрению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этики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" w:name="114"/>
      <w:bookmarkEnd w:id="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" w:name="115"/>
      <w:bookmarkEnd w:id="7"/>
      <w:r>
        <w:rPr>
          <w:rFonts w:ascii="Arial" w:hAnsi="Arial" w:cs="Arial"/>
          <w:color w:val="000000"/>
        </w:rPr>
        <w:t>Материал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" w:name="116"/>
      <w:bookmarkEnd w:id="8"/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состоянию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" w:name="117"/>
      <w:bookmarkEnd w:id="9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" w:name="6"/>
      <w:bookmarkEnd w:id="10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7"/>
      <w:bookmarkEnd w:id="11"/>
      <w:r>
        <w:rPr>
          <w:rFonts w:ascii="Arial" w:hAnsi="Arial" w:cs="Arial"/>
          <w:color w:val="000000"/>
        </w:rPr>
        <w:t>Важной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внешнего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8"/>
      <w:bookmarkEnd w:id="12"/>
      <w:r>
        <w:rPr>
          <w:rFonts w:ascii="Arial" w:hAnsi="Arial" w:cs="Arial"/>
          <w:color w:val="000000"/>
        </w:rPr>
        <w:t> </w:t>
      </w:r>
    </w:p>
    <w:p w:rsidR="00000000" w:rsidRDefault="003F2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3" w:name="221"/>
      <w:bookmarkEnd w:id="13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036820" cy="334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08B"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" w:name="9"/>
      <w:bookmarkEnd w:id="14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27"/>
      <w:bookmarkEnd w:id="1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руководствуется</w:t>
      </w:r>
      <w:r>
        <w:rPr>
          <w:rFonts w:ascii="Arial" w:hAnsi="Arial" w:cs="Arial"/>
          <w:color w:val="000000"/>
        </w:rPr>
        <w:t>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0"/>
      <w:bookmarkEnd w:id="1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 “</w:t>
      </w:r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”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1"/>
      <w:bookmarkEnd w:id="1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30"/>
      <w:bookmarkEnd w:id="18"/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12"/>
      <w:bookmarkEnd w:id="19"/>
      <w:r>
        <w:rPr>
          <w:rFonts w:ascii="Arial" w:hAnsi="Arial" w:cs="Arial"/>
          <w:color w:val="000000"/>
        </w:rPr>
        <w:t>Цель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13"/>
      <w:bookmarkEnd w:id="2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обычно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119"/>
      <w:bookmarkEnd w:id="21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выполнить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</w:t>
      </w:r>
      <w:r>
        <w:rPr>
          <w:rFonts w:ascii="Arial" w:hAnsi="Arial" w:cs="Arial"/>
          <w:color w:val="000000"/>
        </w:rPr>
        <w:t>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121"/>
      <w:bookmarkEnd w:id="2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реагировать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предполагаемое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выявленное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" w:name="128"/>
      <w:bookmarkEnd w:id="23"/>
      <w:r>
        <w:rPr>
          <w:rFonts w:ascii="Arial" w:hAnsi="Arial" w:cs="Arial"/>
          <w:color w:val="000000"/>
        </w:rPr>
        <w:t> </w:t>
      </w:r>
    </w:p>
    <w:p w:rsidR="00000000" w:rsidRDefault="003F227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4" w:name="129"/>
      <w:bookmarkEnd w:id="24"/>
      <w:r>
        <w:rPr>
          <w:rFonts w:ascii="Arial" w:hAnsi="Arial" w:cs="Arial"/>
          <w:b/>
          <w:bCs/>
          <w:i/>
          <w:iCs/>
          <w:noProof/>
          <w:color w:val="000000"/>
        </w:rPr>
        <w:drawing>
          <wp:inline distT="0" distB="0" distL="0" distR="0">
            <wp:extent cx="182880" cy="182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08B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C208B">
        <w:rPr>
          <w:rFonts w:ascii="Arial" w:hAnsi="Arial" w:cs="Arial"/>
          <w:b/>
          <w:bCs/>
          <w:i/>
          <w:iCs/>
          <w:color w:val="000000"/>
        </w:rPr>
        <w:t>Справочно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5" w:name="123"/>
      <w:bookmarkEnd w:id="25"/>
      <w:r>
        <w:rPr>
          <w:rFonts w:ascii="Arial" w:hAnsi="Arial" w:cs="Arial"/>
          <w:i/>
          <w:iCs/>
          <w:color w:val="000000"/>
        </w:rPr>
        <w:t>Несоблюдение</w:t>
      </w:r>
      <w:r>
        <w:rPr>
          <w:rFonts w:ascii="Arial" w:hAnsi="Arial" w:cs="Arial"/>
          <w:i/>
          <w:iCs/>
          <w:color w:val="000000"/>
        </w:rPr>
        <w:t xml:space="preserve"> - </w:t>
      </w:r>
      <w:r>
        <w:rPr>
          <w:rFonts w:ascii="Arial" w:hAnsi="Arial" w:cs="Arial"/>
          <w:i/>
          <w:iCs/>
          <w:color w:val="000000"/>
        </w:rPr>
        <w:t>умышленное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неумышленное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действие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бездействие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осуществлено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лицами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отвечающими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корпоративное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управление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руководством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лицами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работающими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</w:t>
      </w:r>
      <w:r>
        <w:rPr>
          <w:rFonts w:ascii="Arial" w:hAnsi="Arial" w:cs="Arial"/>
          <w:i/>
          <w:iCs/>
          <w:color w:val="000000"/>
        </w:rPr>
        <w:t>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управлением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противоречит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действующим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нормативным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актам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Личные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проступки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имеющие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деятельности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рассматриваются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несоблюдение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нормативных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актов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 xml:space="preserve">12 </w:t>
      </w:r>
      <w:r>
        <w:rPr>
          <w:rFonts w:ascii="Arial" w:hAnsi="Arial" w:cs="Arial"/>
          <w:i/>
          <w:iCs/>
          <w:color w:val="000000"/>
        </w:rPr>
        <w:t>МСА</w:t>
      </w:r>
      <w:r>
        <w:rPr>
          <w:rFonts w:ascii="Arial" w:hAnsi="Arial" w:cs="Arial"/>
          <w:i/>
          <w:iCs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6" w:name="124"/>
      <w:bookmarkEnd w:id="2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7" w:name="20"/>
      <w:bookmarkEnd w:id="27"/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актов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8" w:name="224"/>
      <w:bookmarkEnd w:id="28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1"/>
      <w:bookmarkEnd w:id="29"/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22"/>
      <w:bookmarkEnd w:id="30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2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23"/>
      <w:bookmarkEnd w:id="3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мониторинг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требований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</w:t>
      </w:r>
      <w:r>
        <w:rPr>
          <w:rFonts w:ascii="Arial" w:hAnsi="Arial" w:cs="Arial"/>
          <w:color w:val="000000"/>
        </w:rPr>
        <w:t>атывались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24"/>
      <w:bookmarkEnd w:id="3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создание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обеспечение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системы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внутреннего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контроля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25"/>
      <w:bookmarkEnd w:id="3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разработка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популяризация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кодекса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поведения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26"/>
      <w:bookmarkEnd w:id="3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понимания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кодекса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поведения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27"/>
      <w:bookmarkEnd w:id="3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мониторинг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дисциплинарного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28"/>
      <w:bookmarkEnd w:id="3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привлечение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юристов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оказания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монитор</w:t>
      </w:r>
      <w:r>
        <w:rPr>
          <w:rFonts w:ascii="Arial" w:hAnsi="Arial" w:cs="Arial"/>
          <w:color w:val="000000"/>
        </w:rPr>
        <w:t>инге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29"/>
      <w:bookmarkEnd w:id="3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ведение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реестра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значимых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ведение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жалоб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8" w:name="135"/>
      <w:bookmarkEnd w:id="38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9" w:name="30"/>
      <w:bookmarkEnd w:id="39"/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аудитора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</w:t>
      </w:r>
      <w:r>
        <w:rPr>
          <w:rFonts w:ascii="Arial" w:hAnsi="Arial" w:cs="Arial"/>
          <w:b/>
          <w:bCs/>
          <w:color w:val="000000"/>
        </w:rPr>
        <w:t>блюдения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аудируемым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актов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" w:name="225"/>
      <w:bookmarkEnd w:id="40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31"/>
      <w:bookmarkEnd w:id="41"/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32"/>
      <w:bookmarkEnd w:id="42"/>
      <w:r>
        <w:rPr>
          <w:rFonts w:ascii="Arial" w:hAnsi="Arial" w:cs="Arial"/>
          <w:color w:val="000000"/>
        </w:rPr>
        <w:t>Аудиторы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>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33"/>
      <w:bookmarkEnd w:id="4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</w:t>
      </w:r>
      <w:r>
        <w:rPr>
          <w:rFonts w:ascii="Arial" w:hAnsi="Arial" w:cs="Arial"/>
          <w:color w:val="000000"/>
        </w:rPr>
        <w:t>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вызванных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34"/>
      <w:bookmarkEnd w:id="4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компания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35"/>
      <w:bookmarkEnd w:id="4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скептицизма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36"/>
      <w:bookmarkEnd w:id="46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37"/>
      <w:bookmarkEnd w:id="4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38"/>
      <w:bookmarkEnd w:id="4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неотъемлемых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неизбежный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</w:t>
      </w:r>
      <w:r>
        <w:rPr>
          <w:rFonts w:ascii="Arial" w:hAnsi="Arial" w:cs="Arial"/>
          <w:color w:val="000000"/>
        </w:rPr>
        <w:t>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удастся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спланирован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41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39"/>
      <w:bookmarkEnd w:id="49"/>
      <w:r>
        <w:rPr>
          <w:rFonts w:ascii="Arial" w:hAnsi="Arial" w:cs="Arial"/>
          <w:color w:val="000000"/>
        </w:rPr>
        <w:t>Определенные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40"/>
      <w:bookmarkEnd w:id="5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существует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совокупность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аспектам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бизнеса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обычно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оказывают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влияния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финансовую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фиксируются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41"/>
      <w:bookmarkEnd w:id="5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действий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направленных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сокрытие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фактов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сговор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подделка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умышленные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намеренное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ложной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аудитору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42"/>
      <w:bookmarkEnd w:id="5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окончательное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43"/>
      <w:bookmarkEnd w:id="5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</w:t>
      </w:r>
      <w:r>
        <w:rPr>
          <w:rFonts w:ascii="Arial" w:hAnsi="Arial" w:cs="Arial"/>
          <w:color w:val="000000"/>
        </w:rPr>
        <w:t>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убедиться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работной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оштрафовано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отчислений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штрафы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39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33).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4" w:name="125"/>
      <w:bookmarkEnd w:id="54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5" w:name="44"/>
      <w:bookmarkEnd w:id="55"/>
      <w:r>
        <w:rPr>
          <w:rFonts w:ascii="Arial" w:hAnsi="Arial" w:cs="Arial"/>
          <w:b/>
          <w:bCs/>
          <w:color w:val="000000"/>
        </w:rPr>
        <w:t>Рассмотрение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аудитором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</w:t>
      </w:r>
      <w:r>
        <w:rPr>
          <w:rFonts w:ascii="Arial" w:hAnsi="Arial" w:cs="Arial"/>
          <w:b/>
          <w:bCs/>
          <w:color w:val="000000"/>
        </w:rPr>
        <w:t>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актов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" w:name="226"/>
      <w:bookmarkEnd w:id="5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45"/>
      <w:bookmarkEnd w:id="5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46"/>
      <w:bookmarkEnd w:id="5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Законодательной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47"/>
      <w:bookmarkEnd w:id="5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48"/>
      <w:bookmarkEnd w:id="60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11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49"/>
      <w:bookmarkEnd w:id="6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имеющееся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внешних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50"/>
      <w:bookmarkEnd w:id="6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обновленную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51"/>
      <w:bookmarkEnd w:id="6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запросить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ожидается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основополагающее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52"/>
      <w:bookmarkEnd w:id="6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запросить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53"/>
      <w:bookmarkEnd w:id="65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запросить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</w:t>
      </w:r>
      <w:r>
        <w:rPr>
          <w:rFonts w:ascii="Arial" w:hAnsi="Arial" w:cs="Arial"/>
          <w:color w:val="000000"/>
        </w:rPr>
        <w:t>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разбирательств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6" w:name="196"/>
      <w:bookmarkEnd w:id="6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7" w:name="197"/>
      <w:bookmarkEnd w:id="67"/>
      <w:r>
        <w:rPr>
          <w:rFonts w:ascii="Arial" w:hAnsi="Arial" w:cs="Arial"/>
          <w:b/>
          <w:bCs/>
          <w:color w:val="000000"/>
        </w:rPr>
        <w:t>Пример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запроса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клиенту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8" w:name="232"/>
      <w:bookmarkEnd w:id="68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9" w:name="245"/>
      <w:bookmarkEnd w:id="69"/>
      <w:r>
        <w:rPr>
          <w:rFonts w:ascii="Arial" w:hAnsi="Arial" w:cs="Arial"/>
          <w:color w:val="000000"/>
        </w:rPr>
        <w:t>Руководителю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клиента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0" w:name="246"/>
      <w:bookmarkEnd w:id="70"/>
      <w:r>
        <w:rPr>
          <w:rFonts w:ascii="Arial" w:hAnsi="Arial" w:cs="Arial"/>
          <w:color w:val="000000"/>
        </w:rPr>
        <w:t>______________________________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i/>
          <w:iCs/>
          <w:color w:val="000000"/>
        </w:rPr>
      </w:pPr>
      <w:bookmarkStart w:id="71" w:name="247"/>
      <w:bookmarkEnd w:id="71"/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Ф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руководителя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клиента</w:t>
      </w:r>
      <w:r>
        <w:rPr>
          <w:rFonts w:ascii="Arial" w:hAnsi="Arial" w:cs="Arial"/>
          <w:i/>
          <w:iCs/>
          <w:color w:val="000000"/>
        </w:rPr>
        <w:t>)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2" w:name="248"/>
      <w:bookmarkEnd w:id="72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249"/>
      <w:bookmarkEnd w:id="73"/>
      <w:r>
        <w:rPr>
          <w:rFonts w:ascii="Arial" w:hAnsi="Arial" w:cs="Arial"/>
          <w:color w:val="000000"/>
        </w:rPr>
        <w:t>Уважаемый</w:t>
      </w:r>
      <w:r>
        <w:rPr>
          <w:rFonts w:ascii="Arial" w:hAnsi="Arial" w:cs="Arial"/>
          <w:color w:val="000000"/>
        </w:rPr>
        <w:t xml:space="preserve"> ________________________________!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4" w:name="250"/>
      <w:bookmarkEnd w:id="74"/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Имя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отчество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клиента</w:t>
      </w:r>
      <w:r>
        <w:rPr>
          <w:rFonts w:ascii="Arial" w:hAnsi="Arial" w:cs="Arial"/>
          <w:i/>
          <w:iCs/>
          <w:color w:val="000000"/>
        </w:rPr>
        <w:t>)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5" w:name="234"/>
      <w:bookmarkEnd w:id="75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206"/>
      <w:bookmarkEnd w:id="7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___________________________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полное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наименование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клиента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202__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 “</w:t>
      </w:r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 “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</w:t>
      </w:r>
      <w:r>
        <w:rPr>
          <w:rFonts w:ascii="Arial" w:hAnsi="Arial" w:cs="Arial"/>
          <w:color w:val="000000"/>
        </w:rPr>
        <w:t>тельства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нам</w:t>
      </w:r>
      <w:r>
        <w:rPr>
          <w:rFonts w:ascii="Arial" w:hAnsi="Arial" w:cs="Arial"/>
          <w:color w:val="000000"/>
        </w:rPr>
        <w:t>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209"/>
      <w:bookmarkEnd w:id="7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хозяйственную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210"/>
      <w:bookmarkEnd w:id="7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</w:t>
      </w:r>
      <w:r>
        <w:rPr>
          <w:rFonts w:ascii="Arial" w:hAnsi="Arial" w:cs="Arial"/>
          <w:color w:val="000000"/>
        </w:rPr>
        <w:t>удниками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211"/>
      <w:bookmarkEnd w:id="7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Вашу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212"/>
      <w:bookmarkEnd w:id="8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разбирательств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санкций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213"/>
      <w:bookmarkEnd w:id="81"/>
      <w:r>
        <w:rPr>
          <w:rFonts w:ascii="Arial" w:hAnsi="Arial" w:cs="Arial"/>
          <w:color w:val="000000"/>
        </w:rPr>
        <w:t>Указанную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202__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предыдущий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годы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214"/>
      <w:bookmarkEnd w:id="82"/>
      <w:r>
        <w:rPr>
          <w:rFonts w:ascii="Arial" w:hAnsi="Arial" w:cs="Arial"/>
          <w:color w:val="000000"/>
        </w:rPr>
        <w:t>Ответы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запрашиваемую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3" w:name="239"/>
      <w:bookmarkEnd w:id="83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251"/>
      <w:bookmarkEnd w:id="84"/>
      <w:r>
        <w:rPr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адресу</w:t>
      </w:r>
      <w:r>
        <w:rPr>
          <w:rFonts w:ascii="Arial" w:hAnsi="Arial" w:cs="Arial"/>
          <w:color w:val="000000"/>
        </w:rPr>
        <w:t>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252"/>
      <w:bookmarkEnd w:id="85"/>
      <w:r>
        <w:rPr>
          <w:rFonts w:ascii="Arial" w:hAnsi="Arial" w:cs="Arial"/>
          <w:color w:val="000000"/>
        </w:rPr>
        <w:t xml:space="preserve">_______________________________________________________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адрес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аудиторской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253"/>
      <w:bookmarkEnd w:id="86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уважением</w:t>
      </w:r>
      <w:r>
        <w:rPr>
          <w:rFonts w:ascii="Arial" w:hAnsi="Arial" w:cs="Arial"/>
          <w:color w:val="000000"/>
        </w:rPr>
        <w:t xml:space="preserve">, ________________________________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Ф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аудитора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дата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7" w:name="235"/>
      <w:bookmarkEnd w:id="87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54"/>
      <w:bookmarkEnd w:id="88"/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правилам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которые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непосредственно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влияют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существенных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сумм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раскрытий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финансовой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хорошо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12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55"/>
      <w:bookmarkEnd w:id="8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56"/>
      <w:bookmarkEnd w:id="9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отраслевым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57"/>
      <w:bookmarkEnd w:id="9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порядку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контрактам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58"/>
      <w:bookmarkEnd w:id="92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порядку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трат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59"/>
      <w:bookmarkEnd w:id="93"/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фундаментальное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</w:t>
      </w:r>
      <w:r>
        <w:rPr>
          <w:rFonts w:ascii="Arial" w:hAnsi="Arial" w:cs="Arial"/>
          <w:color w:val="000000"/>
        </w:rPr>
        <w:t>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безлицензионной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60"/>
      <w:bookmarkEnd w:id="94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61"/>
      <w:bookmarkEnd w:id="9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адрес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уместно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соблюдает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148"/>
      <w:bookmarkEnd w:id="9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изучение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переписки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лицензирующими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рганами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63"/>
      <w:bookmarkEnd w:id="9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помнить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64"/>
      <w:bookmarkEnd w:id="98"/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65"/>
      <w:bookmarkEnd w:id="9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ознакомление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заседаний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66"/>
      <w:bookmarkEnd w:id="10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юрисконсульту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внешнему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юрисконсульту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разбирательств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показателей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67"/>
      <w:bookmarkEnd w:id="10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детальное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тестирование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</w:t>
      </w:r>
      <w:r>
        <w:rPr>
          <w:rFonts w:ascii="Arial" w:hAnsi="Arial" w:cs="Arial"/>
          <w:color w:val="000000"/>
        </w:rPr>
        <w:t>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подробностей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остатков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68"/>
      <w:bookmarkEnd w:id="102"/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уместно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письменные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подозрения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69"/>
      <w:bookmarkEnd w:id="103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вышеперечисленных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4" w:name="126"/>
      <w:bookmarkEnd w:id="104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5" w:name="70"/>
      <w:bookmarkEnd w:id="105"/>
      <w:r>
        <w:rPr>
          <w:rFonts w:ascii="Arial" w:hAnsi="Arial" w:cs="Arial"/>
          <w:b/>
          <w:bCs/>
          <w:color w:val="000000"/>
        </w:rPr>
        <w:t>Аудиторские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процедуры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выявлении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несоблюдения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подозрении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несоблюдении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актов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6" w:name="227"/>
      <w:bookmarkEnd w:id="10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71"/>
      <w:bookmarkEnd w:id="107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подозрении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43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72"/>
      <w:bookmarkEnd w:id="10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</w:t>
      </w:r>
      <w:r>
        <w:rPr>
          <w:rFonts w:ascii="Arial" w:hAnsi="Arial" w:cs="Arial"/>
          <w:color w:val="000000"/>
        </w:rPr>
        <w:t>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49"/>
      <w:bookmarkEnd w:id="10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дополнительную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74"/>
      <w:bookmarkEnd w:id="110"/>
      <w:r>
        <w:rPr>
          <w:rFonts w:ascii="Arial" w:hAnsi="Arial" w:cs="Arial"/>
          <w:color w:val="000000"/>
        </w:rPr>
        <w:t>Факты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42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75"/>
      <w:bookmarkEnd w:id="1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внеплановая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периоде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76"/>
      <w:bookmarkEnd w:id="112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штрафные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санкции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77"/>
      <w:bookmarkEnd w:id="11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сомнение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78"/>
      <w:bookmarkEnd w:id="11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79"/>
      <w:bookmarkEnd w:id="11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закупки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рыночных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80"/>
      <w:bookmarkEnd w:id="11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сомнительные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наличными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81"/>
      <w:bookmarkEnd w:id="11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сомнительные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оффшорных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зонах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82"/>
      <w:bookmarkEnd w:id="11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платежи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поставщику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продавцу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83"/>
      <w:bookmarkEnd w:id="11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84"/>
      <w:bookmarkEnd w:id="12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негативная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размещенная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85"/>
      <w:bookmarkEnd w:id="12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факты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86"/>
      <w:bookmarkEnd w:id="12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учесть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44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87"/>
      <w:bookmarkEnd w:id="12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веро</w:t>
      </w:r>
      <w:r>
        <w:rPr>
          <w:rFonts w:ascii="Arial" w:hAnsi="Arial" w:cs="Arial"/>
          <w:color w:val="000000"/>
        </w:rPr>
        <w:t>ятность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штрафных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санкций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88"/>
      <w:bookmarkEnd w:id="12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возникновение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отчуждения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отразится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89"/>
      <w:bookmarkEnd w:id="12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возможность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90"/>
      <w:bookmarkEnd w:id="12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91"/>
      <w:bookmarkEnd w:id="127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обсудить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 </w:t>
      </w:r>
      <w:r>
        <w:rPr>
          <w:rFonts w:ascii="Arial" w:hAnsi="Arial" w:cs="Arial"/>
          <w:color w:val="000000"/>
        </w:rPr>
        <w:t>Однако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проявлять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осторожность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подозревает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овлечены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существует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аблюдательный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иерархии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никаких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обратиться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</w:t>
      </w:r>
      <w:r>
        <w:rPr>
          <w:rFonts w:ascii="Arial" w:hAnsi="Arial" w:cs="Arial"/>
          <w:color w:val="000000"/>
        </w:rPr>
        <w:t>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целесообразности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консультации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92"/>
      <w:bookmarkEnd w:id="128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подозрении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недостатка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</w:t>
      </w:r>
      <w:r>
        <w:rPr>
          <w:rFonts w:ascii="Arial" w:hAnsi="Arial" w:cs="Arial"/>
          <w:color w:val="000000"/>
        </w:rPr>
        <w:t>орских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93"/>
      <w:bookmarkEnd w:id="129"/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предполагаемого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аспектов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надежность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</w:t>
      </w:r>
      <w:r>
        <w:rPr>
          <w:rFonts w:ascii="Arial" w:hAnsi="Arial" w:cs="Arial"/>
          <w:color w:val="000000"/>
        </w:rPr>
        <w:t>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22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250).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0" w:name="131"/>
      <w:bookmarkEnd w:id="130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1" w:name="94"/>
      <w:bookmarkEnd w:id="131"/>
      <w:r>
        <w:rPr>
          <w:rFonts w:ascii="Arial" w:hAnsi="Arial" w:cs="Arial"/>
          <w:b/>
          <w:bCs/>
          <w:color w:val="000000"/>
        </w:rPr>
        <w:t>Возможное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влияние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выявленного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предполагаемого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несоблюдения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актов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аудиторское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заключение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2" w:name="228"/>
      <w:bookmarkEnd w:id="132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95"/>
      <w:bookmarkEnd w:id="133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выводу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</w:t>
      </w:r>
      <w:r>
        <w:rPr>
          <w:rFonts w:ascii="Arial" w:hAnsi="Arial" w:cs="Arial"/>
          <w:color w:val="000000"/>
        </w:rPr>
        <w:t>лагаемое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выразить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оговоркой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отрицательное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250, </w:t>
      </w:r>
      <w:r>
        <w:rPr>
          <w:rFonts w:ascii="Arial" w:hAnsi="Arial" w:cs="Arial"/>
          <w:color w:val="000000"/>
        </w:rPr>
        <w:t>МС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705).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96"/>
      <w:bookmarkEnd w:id="134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препятствуют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</w:t>
      </w:r>
      <w:r>
        <w:rPr>
          <w:rFonts w:ascii="Arial" w:hAnsi="Arial" w:cs="Arial"/>
          <w:color w:val="000000"/>
        </w:rPr>
        <w:t>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выразить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оговоркой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250,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705).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97"/>
      <w:bookmarkEnd w:id="135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</w:t>
      </w:r>
      <w:r>
        <w:rPr>
          <w:rFonts w:ascii="Arial" w:hAnsi="Arial" w:cs="Arial"/>
          <w:color w:val="000000"/>
        </w:rPr>
        <w:t>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вызванных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250,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7</w:t>
      </w:r>
      <w:r>
        <w:rPr>
          <w:rFonts w:ascii="Arial" w:hAnsi="Arial" w:cs="Arial"/>
          <w:color w:val="000000"/>
        </w:rPr>
        <w:t>05).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6" w:name="132"/>
      <w:bookmarkEnd w:id="13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7" w:name="98"/>
      <w:bookmarkEnd w:id="137"/>
      <w:r>
        <w:rPr>
          <w:rFonts w:ascii="Arial" w:hAnsi="Arial" w:cs="Arial"/>
          <w:b/>
          <w:bCs/>
          <w:color w:val="000000"/>
        </w:rPr>
        <w:t>Предоставление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информации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сообщение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выявленном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несоблюдении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подозрении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несоблюдении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актов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8" w:name="229"/>
      <w:bookmarkEnd w:id="138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50"/>
      <w:bookmarkEnd w:id="139"/>
      <w:r>
        <w:rPr>
          <w:rFonts w:ascii="Arial" w:hAnsi="Arial" w:cs="Arial"/>
          <w:color w:val="000000"/>
        </w:rPr>
        <w:t>Аудиторская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конфиденциальность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ошибках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недобросовестных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прямо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</w:t>
      </w:r>
      <w:r>
        <w:rPr>
          <w:rFonts w:ascii="Arial" w:hAnsi="Arial" w:cs="Arial"/>
          <w:color w:val="000000"/>
        </w:rPr>
        <w:t>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ошибках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недобросовестных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консультац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50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33).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0" w:name="241"/>
      <w:bookmarkEnd w:id="140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41" w:name="242"/>
      <w:bookmarkEnd w:id="141"/>
      <w:r>
        <w:rPr>
          <w:rFonts w:ascii="Arial" w:hAnsi="Arial" w:cs="Arial"/>
          <w:b/>
          <w:bCs/>
          <w:color w:val="000000"/>
        </w:rPr>
        <w:t>Сообщения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несоблюдении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2" w:name="243"/>
      <w:bookmarkEnd w:id="142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headerReference w:type="default" r:id="rId8"/>
          <w:footerReference w:type="default" r:id="rId9"/>
          <w:pgSz w:w="11905" w:h="16837"/>
          <w:pgMar w:top="1133" w:right="850" w:bottom="1133" w:left="1700" w:header="720" w:footer="720" w:gutter="0"/>
          <w:cols w:space="720"/>
          <w:noEndnote/>
        </w:sectPr>
      </w:pPr>
    </w:p>
    <w:p w:rsidR="00000000" w:rsidRDefault="003F2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3" w:name="222"/>
      <w:bookmarkEnd w:id="143"/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477000" cy="1188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08B"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4" w:name="134"/>
      <w:bookmarkEnd w:id="144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45" w:name="102"/>
      <w:bookmarkEnd w:id="145"/>
      <w:r>
        <w:rPr>
          <w:rFonts w:ascii="Arial" w:hAnsi="Arial" w:cs="Arial"/>
          <w:b/>
          <w:bCs/>
          <w:color w:val="000000"/>
        </w:rPr>
        <w:t>Документация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6" w:name="230"/>
      <w:bookmarkEnd w:id="14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03"/>
      <w:bookmarkEnd w:id="147"/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отразить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подозрение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250,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45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33):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04"/>
      <w:bookmarkEnd w:id="14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выполненные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значительные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выводы</w:t>
      </w:r>
      <w:r>
        <w:rPr>
          <w:rFonts w:ascii="Arial" w:hAnsi="Arial" w:cs="Arial"/>
          <w:color w:val="000000"/>
        </w:rPr>
        <w:t>;</w:t>
      </w:r>
    </w:p>
    <w:p w:rsidR="00000000" w:rsidRDefault="006C208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05"/>
      <w:bookmarkEnd w:id="14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обсуждения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несоблюдения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вопросом</w:t>
      </w:r>
      <w:r>
        <w:rPr>
          <w:rFonts w:ascii="Arial" w:hAnsi="Arial" w:cs="Arial"/>
          <w:color w:val="000000"/>
        </w:rPr>
        <w:t>.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0" w:name="144"/>
      <w:bookmarkEnd w:id="150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51" w:name="151"/>
      <w:bookmarkEnd w:id="151"/>
      <w:r>
        <w:rPr>
          <w:rFonts w:ascii="Arial" w:hAnsi="Arial" w:cs="Arial"/>
          <w:b/>
          <w:bCs/>
          <w:color w:val="000000"/>
        </w:rPr>
        <w:t>Рабочий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документ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аудитора</w:t>
      </w:r>
      <w:r>
        <w:rPr>
          <w:rFonts w:ascii="Arial" w:hAnsi="Arial" w:cs="Arial"/>
          <w:b/>
          <w:bCs/>
          <w:color w:val="000000"/>
        </w:rPr>
        <w:t xml:space="preserve"> “</w:t>
      </w:r>
      <w:r>
        <w:rPr>
          <w:rFonts w:ascii="Arial" w:hAnsi="Arial" w:cs="Arial"/>
          <w:b/>
          <w:bCs/>
          <w:color w:val="000000"/>
        </w:rPr>
        <w:t>Проверка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аудируемым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лицом</w:t>
      </w:r>
      <w:r>
        <w:rPr>
          <w:rFonts w:ascii="Arial" w:hAnsi="Arial" w:cs="Arial"/>
          <w:b/>
          <w:bCs/>
          <w:color w:val="000000"/>
        </w:rPr>
        <w:t>”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2" w:name="152"/>
      <w:bookmarkEnd w:id="152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27"/>
        <w:gridCol w:w="2777"/>
        <w:gridCol w:w="963"/>
        <w:gridCol w:w="1247"/>
        <w:gridCol w:w="170"/>
        <w:gridCol w:w="1757"/>
        <w:gridCol w:w="19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Наименование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аудируемого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лица</w:t>
            </w:r>
          </w:p>
        </w:tc>
        <w:tc>
          <w:tcPr>
            <w:tcW w:w="1076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Договор</w:t>
            </w:r>
            <w:r>
              <w:rPr>
                <w:rFonts w:ascii="Arial" w:hAnsi="Arial" w:cs="Arial"/>
                <w:color w:val="000000"/>
              </w:rPr>
              <w:t xml:space="preserve"> 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01.01.2020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Исполнитель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Завершена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XX.XX.XXXX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</w:t>
            </w:r>
            <w:r>
              <w:rPr>
                <w:rFonts w:ascii="Arial" w:hAnsi="Arial" w:cs="Arial"/>
                <w:color w:val="000000"/>
              </w:rPr>
              <w:t>етности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01.01.2020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31.12.2020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Проверяющий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Проверена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XX.XX.XXXX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2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Проверка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соблюдения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законодательства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Номер</w:t>
            </w:r>
          </w:p>
        </w:tc>
        <w:tc>
          <w:tcPr>
            <w:tcW w:w="72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Вопрос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Ответ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Примечание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контроля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соблюдением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нормативных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актов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обеспечивающие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ознакомление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всех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работников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аудируемого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понимание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внутренних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правил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утверждены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правила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внутреннего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распорядка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обеспечено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соблюдение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Разработана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внутреннего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обеспечено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функциони</w:t>
            </w:r>
            <w:r>
              <w:rPr>
                <w:rFonts w:ascii="Arial" w:hAnsi="Arial" w:cs="Arial"/>
                <w:color w:val="000000"/>
              </w:rPr>
              <w:t>рование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Привлекаются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специалисты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области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отслеживания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изменений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законодательства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мониторинг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изменений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законодательства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сфере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Возложены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обязанности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отдел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внутреннего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ревизионную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комиссию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созданный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комитет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аудиту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Ведется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реестр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законов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нормативных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актов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должны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соблюдаться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аудируемым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процессе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Перечень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обстоятельств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</w:rPr>
              <w:t>указывающих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несоблюдение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законодательства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Сомнительные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платежи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наличными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Сомнительные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организациями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зарегистрированными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офшорных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Платежи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товары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услуги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осуществляемые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государство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которог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поставлялись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товары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услуги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Платежи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иностранной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валюте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оформления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информационной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которая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обеспечивает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адекватных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свидетельств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услуг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х</w:t>
            </w:r>
            <w:r>
              <w:rPr>
                <w:rFonts w:ascii="Arial" w:hAnsi="Arial" w:cs="Arial"/>
                <w:color w:val="000000"/>
              </w:rPr>
              <w:t>арактер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либо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вызывает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сомнение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выдача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займов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внешним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консультантам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связанным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работникам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государственным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служащим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льготных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разрешенные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аудируемого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учитываемые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Негативная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аудируемом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массовой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значительно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отличающимся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рыночных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посреднику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вознаграждения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превышает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обычную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аудируемого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либо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обычную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отрасли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аудируемое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ведет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Внеплановая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проверка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проводимая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уполномоченным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государственным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штрафов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санкций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Вывод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Неисправленные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нарушения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имеют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существенное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значение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должны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быть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отражены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заключении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3" w:name="106"/>
      <w:bookmarkEnd w:id="153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54" w:name="255"/>
      <w:bookmarkEnd w:id="154"/>
      <w:r>
        <w:rPr>
          <w:rFonts w:ascii="Arial" w:hAnsi="Arial" w:cs="Arial"/>
          <w:b/>
          <w:bCs/>
          <w:color w:val="000000"/>
        </w:rPr>
        <w:t>См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данную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MS-Word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5" w:name="254"/>
      <w:bookmarkEnd w:id="15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6C2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b/>
                <w:bCs/>
                <w:i/>
                <w:iCs/>
                <w:color w:val="392C6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Это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может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быть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интересно</w:t>
            </w:r>
          </w:p>
          <w:p w:rsidR="00000000" w:rsidRDefault="006C2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i/>
                <w:iCs/>
                <w:color w:val="392C69"/>
              </w:rPr>
            </w:pPr>
            <w:r>
              <w:rPr>
                <w:rFonts w:ascii="Arial" w:hAnsi="Arial" w:cs="Arial"/>
                <w:i/>
                <w:iCs/>
                <w:color w:val="392C69"/>
              </w:rPr>
              <w:t>Аудиторы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и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недобросовестные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действия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аудируемых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лиц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&gt;&gt;&gt;</w:t>
            </w:r>
          </w:p>
          <w:p w:rsidR="00000000" w:rsidRDefault="006C2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i/>
                <w:iCs/>
                <w:color w:val="392C69"/>
              </w:rPr>
            </w:pPr>
            <w:r>
              <w:rPr>
                <w:rFonts w:ascii="Arial" w:hAnsi="Arial" w:cs="Arial"/>
                <w:i/>
                <w:iCs/>
                <w:color w:val="392C69"/>
              </w:rPr>
              <w:t>Международное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и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национальное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регул</w:t>
            </w:r>
            <w:r>
              <w:rPr>
                <w:rFonts w:ascii="Arial" w:hAnsi="Arial" w:cs="Arial"/>
                <w:i/>
                <w:iCs/>
                <w:color w:val="392C69"/>
              </w:rPr>
              <w:t>ирование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аудиторской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деятельности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&gt;&gt;&gt;</w:t>
            </w:r>
          </w:p>
        </w:tc>
      </w:tr>
    </w:tbl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6" w:name="3"/>
      <w:bookmarkEnd w:id="156"/>
      <w:r>
        <w:rPr>
          <w:rFonts w:ascii="Arial" w:hAnsi="Arial" w:cs="Arial"/>
          <w:color w:val="000000"/>
        </w:rPr>
        <w:t> </w:t>
      </w:r>
    </w:p>
    <w:p w:rsidR="00000000" w:rsidRDefault="006C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7" w:name="256"/>
      <w:bookmarkEnd w:id="157"/>
      <w:r>
        <w:rPr>
          <w:rFonts w:ascii="Arial" w:hAnsi="Arial" w:cs="Arial"/>
          <w:color w:val="000000"/>
        </w:rPr>
        <w:t> </w:t>
      </w:r>
    </w:p>
    <w:p w:rsidR="006C208B" w:rsidRDefault="006C20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8" w:name="4"/>
      <w:bookmarkEnd w:id="158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6C208B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8B" w:rsidRDefault="006C208B">
      <w:pPr>
        <w:spacing w:after="0" w:line="240" w:lineRule="auto"/>
      </w:pPr>
      <w:r>
        <w:separator/>
      </w:r>
    </w:p>
  </w:endnote>
  <w:endnote w:type="continuationSeparator" w:id="0">
    <w:p w:rsidR="006C208B" w:rsidRDefault="006C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208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8B" w:rsidRDefault="006C208B">
      <w:pPr>
        <w:spacing w:after="0" w:line="240" w:lineRule="auto"/>
      </w:pPr>
      <w:r>
        <w:separator/>
      </w:r>
    </w:p>
  </w:footnote>
  <w:footnote w:type="continuationSeparator" w:id="0">
    <w:p w:rsidR="006C208B" w:rsidRDefault="006C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208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7C"/>
    <w:rsid w:val="003F227C"/>
    <w:rsid w:val="006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21A317-69D8-4C66-B9F8-8226C2A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2021-01-06T18:28:00Z</dcterms:created>
  <dcterms:modified xsi:type="dcterms:W3CDTF">2021-01-06T18:28:00Z</dcterms:modified>
</cp:coreProperties>
</file>