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D6F5" w14:textId="17B1DD85" w:rsidR="008F3FC3" w:rsidRDefault="008F3FC3" w:rsidP="008F3FC3">
      <w:pPr>
        <w:spacing w:after="0"/>
        <w:jc w:val="center"/>
        <w:rPr>
          <w:rFonts w:ascii="Arial" w:hAnsi="Arial"/>
          <w:b/>
          <w:bCs/>
          <w:i/>
          <w:vanish/>
          <w:sz w:val="28"/>
          <w:szCs w:val="28"/>
        </w:rPr>
      </w:pPr>
      <w:r w:rsidRPr="008F3FC3">
        <w:rPr>
          <w:rFonts w:ascii="Arial" w:hAnsi="Arial"/>
          <w:b/>
          <w:bCs/>
          <w:i/>
          <w:vanish/>
          <w:sz w:val="28"/>
          <w:szCs w:val="28"/>
        </w:rPr>
        <w:t>Запрос клиенту о соблюдении законодательства</w:t>
      </w:r>
    </w:p>
    <w:p w14:paraId="1D8BE5B3" w14:textId="77777777" w:rsidR="008F3FC3" w:rsidRPr="008F3FC3" w:rsidRDefault="008F3FC3" w:rsidP="008F3FC3">
      <w:pPr>
        <w:spacing w:after="0"/>
        <w:jc w:val="center"/>
        <w:rPr>
          <w:rFonts w:eastAsia="Calibri"/>
          <w:b/>
        </w:rPr>
      </w:pPr>
    </w:p>
    <w:tbl>
      <w:tblPr>
        <w:tblW w:w="949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F3FC3" w:rsidRPr="000D4190" w14:paraId="3BD287C1" w14:textId="77777777" w:rsidTr="009518D9">
        <w:trPr>
          <w:trHeight w:val="264"/>
          <w:hidden/>
        </w:trPr>
        <w:tc>
          <w:tcPr>
            <w:tcW w:w="9498" w:type="dxa"/>
          </w:tcPr>
          <w:p w14:paraId="371CF910" w14:textId="77777777" w:rsidR="008F3FC3" w:rsidRPr="003453B2" w:rsidRDefault="008F3FC3" w:rsidP="009518D9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b/>
                <w:bCs/>
                <w:i/>
                <w:vanish/>
                <w:sz w:val="20"/>
              </w:rPr>
            </w:pPr>
            <w:proofErr w:type="spellStart"/>
            <w:r w:rsidRPr="003453B2">
              <w:rPr>
                <w:rFonts w:ascii="Arial" w:hAnsi="Arial"/>
                <w:b/>
                <w:bCs/>
                <w:i/>
                <w:vanish/>
                <w:sz w:val="20"/>
              </w:rPr>
              <w:t>Справочно</w:t>
            </w:r>
            <w:proofErr w:type="spellEnd"/>
            <w:r>
              <w:rPr>
                <w:rFonts w:ascii="Arial" w:hAnsi="Arial"/>
                <w:b/>
                <w:bCs/>
                <w:i/>
                <w:vanish/>
                <w:sz w:val="20"/>
              </w:rPr>
              <w:t>:</w:t>
            </w:r>
          </w:p>
          <w:p w14:paraId="358AF9B9" w14:textId="5BC5AB81" w:rsidR="008F3FC3" w:rsidRDefault="008F3FC3" w:rsidP="008F3FC3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 xml:space="preserve">МСА 250.2 </w:t>
            </w:r>
            <w:r w:rsidRPr="008F3FC3">
              <w:rPr>
                <w:rFonts w:ascii="Arial" w:hAnsi="Arial"/>
                <w:i/>
                <w:vanish/>
                <w:sz w:val="20"/>
              </w:rPr>
              <w:t>Законы и нормативные акты значительно различаются по влиянию на финансовую отчетность. Те законы и нормативные акты, которые применяются к организации, составляют законодательную базу. Положения некоторых законов или нормативных актов оказывают непосредственное влияние на финансовую отчетность таким образом, что они определяют числовые показатели и раскрытие информации в финансовой отчетности организации. Другие законы или нормативные акты должны соблюдаться руководством или устанавливают положения, в соответствии с которыми организации разрешается ведение деятельности, но они не оказывают непосредственного влияния на финансовую отчетность организации. Некоторые организации ведут свою деятельность в отраслях с жестким нормативным регулированием (например, банки и химические предприятия). К деятельности других применяется совокупность лишь тех законов и нормативных актов, которые относятся в целом к операционным аспектам деятельности (например, законы и нормативные акты, относящиеся к охране труда и здоровья, а также к обеспечению равных прав при трудоустройстве). Несоблюдение законов и нормативных актов может привести к штрафам, судебным разбирательствам или иным последствиям для организации, которые могут оказать существенное влияние на финансовую отчетность.</w:t>
            </w:r>
          </w:p>
          <w:p w14:paraId="4D590BB4" w14:textId="41906F1E" w:rsidR="008F3FC3" w:rsidRPr="008F3FC3" w:rsidRDefault="008F3FC3" w:rsidP="008F3FC3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МСА 250.</w:t>
            </w:r>
            <w:r>
              <w:rPr>
                <w:rFonts w:ascii="Arial" w:hAnsi="Arial"/>
                <w:i/>
                <w:vanish/>
                <w:sz w:val="20"/>
              </w:rPr>
              <w:t xml:space="preserve">5 </w:t>
            </w:r>
            <w:r w:rsidRPr="008F3FC3">
              <w:rPr>
                <w:rFonts w:ascii="Arial" w:hAnsi="Arial"/>
                <w:i/>
                <w:vanish/>
                <w:sz w:val="20"/>
              </w:rPr>
              <w:t>Аудитор несет ответственность за обеспечение разумной уверенности в том, что финансовая отчетность в целом не содержит существенного искажения как вследствие недобросовестных действий, так и по причине ошибки</w:t>
            </w:r>
            <w:bookmarkStart w:id="0" w:name="_ftnref1"/>
            <w:r w:rsidRPr="008F3FC3">
              <w:rPr>
                <w:rFonts w:ascii="Arial" w:hAnsi="Arial"/>
                <w:i/>
                <w:vanish/>
                <w:sz w:val="20"/>
              </w:rPr>
              <w:fldChar w:fldCharType="begin"/>
            </w:r>
            <w:r w:rsidRPr="008F3FC3">
              <w:rPr>
                <w:rFonts w:ascii="Arial" w:hAnsi="Arial"/>
                <w:i/>
                <w:vanish/>
                <w:sz w:val="20"/>
              </w:rPr>
              <w:instrText xml:space="preserve"> HYPERLINK "https://www.minfin.ru/ru/document/?id_4=116579-mezhdunarodnyi_standart_audita_250_rassmotrenie_zakonov_i_normativnykh_aktov_v_khode_audita_finansovoi_otchetnosti" \l "_ftn1" </w:instrText>
            </w:r>
            <w:r w:rsidRPr="008F3FC3">
              <w:rPr>
                <w:rFonts w:ascii="Arial" w:hAnsi="Arial"/>
                <w:i/>
                <w:vanish/>
                <w:sz w:val="20"/>
              </w:rPr>
              <w:fldChar w:fldCharType="separate"/>
            </w:r>
            <w:r w:rsidRPr="008F3FC3">
              <w:rPr>
                <w:rFonts w:ascii="Arial" w:hAnsi="Arial"/>
                <w:i/>
                <w:vanish/>
                <w:sz w:val="20"/>
              </w:rPr>
              <w:t>[1]</w:t>
            </w:r>
            <w:r w:rsidRPr="008F3FC3">
              <w:rPr>
                <w:rFonts w:ascii="Arial" w:hAnsi="Arial"/>
                <w:i/>
                <w:vanish/>
                <w:sz w:val="20"/>
              </w:rPr>
              <w:fldChar w:fldCharType="end"/>
            </w:r>
            <w:bookmarkEnd w:id="0"/>
            <w:r w:rsidRPr="008F3FC3">
              <w:rPr>
                <w:rFonts w:ascii="Arial" w:hAnsi="Arial"/>
                <w:i/>
                <w:vanish/>
                <w:sz w:val="20"/>
              </w:rPr>
              <w:t>.При проведении аудита финансовой отчетности аудитор учитывает применимую законодательную и нормативную базу. В силу неотъемлемых ограничений аудита существует неизбежный риск того, что некоторые существенные искажения финансовой отчетности не удастся обнаружить, даже если аудит должным образом спланирован и проведен в соответствии с Международными стандартами аудита</w:t>
            </w:r>
            <w:bookmarkStart w:id="1" w:name="_ftnref2"/>
            <w:r w:rsidRPr="008F3FC3">
              <w:rPr>
                <w:rFonts w:ascii="Arial" w:hAnsi="Arial"/>
                <w:i/>
                <w:vanish/>
                <w:sz w:val="20"/>
              </w:rPr>
              <w:fldChar w:fldCharType="begin"/>
            </w:r>
            <w:r w:rsidRPr="008F3FC3">
              <w:rPr>
                <w:rFonts w:ascii="Arial" w:hAnsi="Arial"/>
                <w:i/>
                <w:vanish/>
                <w:sz w:val="20"/>
              </w:rPr>
              <w:instrText xml:space="preserve"> HYPERLINK "https://www.minfin.ru/ru/document/?id_4=116579-mezhdunarodnyi_standart_audita_250_rassmotrenie_zakonov_i_normativnykh_aktov_v_khode_audita_finansovoi_otchetnosti" \l "_ftn2" </w:instrText>
            </w:r>
            <w:r w:rsidRPr="008F3FC3">
              <w:rPr>
                <w:rFonts w:ascii="Arial" w:hAnsi="Arial"/>
                <w:i/>
                <w:vanish/>
                <w:sz w:val="20"/>
              </w:rPr>
              <w:fldChar w:fldCharType="separate"/>
            </w:r>
            <w:r w:rsidRPr="008F3FC3">
              <w:rPr>
                <w:rFonts w:ascii="Arial" w:hAnsi="Arial"/>
                <w:i/>
                <w:vanish/>
                <w:sz w:val="20"/>
              </w:rPr>
              <w:t>[2]</w:t>
            </w:r>
            <w:r w:rsidRPr="008F3FC3">
              <w:rPr>
                <w:rFonts w:ascii="Arial" w:hAnsi="Arial"/>
                <w:i/>
                <w:vanish/>
                <w:sz w:val="20"/>
              </w:rPr>
              <w:fldChar w:fldCharType="end"/>
            </w:r>
            <w:bookmarkEnd w:id="1"/>
            <w:r w:rsidRPr="008F3FC3">
              <w:rPr>
                <w:rFonts w:ascii="Arial" w:hAnsi="Arial"/>
                <w:i/>
                <w:vanish/>
                <w:sz w:val="20"/>
              </w:rPr>
              <w:t>. В контексте законов и нормативных актов возможное влияние этих неотъемлемых ограничений на способность аудитора обнаруживать существенные искажения усиливается в силу следующих причин:</w:t>
            </w:r>
          </w:p>
          <w:p w14:paraId="6C22E45C" w14:textId="77777777" w:rsidR="008F3FC3" w:rsidRPr="008F3FC3" w:rsidRDefault="008F3FC3" w:rsidP="008F3FC3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существует совокупность законов и нормативных актов, относящихся в целом к операционным аспектам бизнеса организации, которые обычно не оказывают влияния на финансовую отчетность и не фиксируются информационными системами организации, относящимися к финансовой отчетности;</w:t>
            </w:r>
          </w:p>
          <w:p w14:paraId="119F93D0" w14:textId="77777777" w:rsidR="008F3FC3" w:rsidRPr="008F3FC3" w:rsidRDefault="008F3FC3" w:rsidP="008F3FC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несоблюдение законов и нормативных актов может стать причиной действий, направленных на сокрытие фактов несоблюдения, таких как сговор, подделка, умышленные пропуски в учете операций, обход руководством средств контроля или намеренное представление ложной информации аудитору;</w:t>
            </w:r>
          </w:p>
          <w:p w14:paraId="31F645BD" w14:textId="77777777" w:rsidR="008F3FC3" w:rsidRPr="008F3FC3" w:rsidRDefault="008F3FC3" w:rsidP="008F3FC3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окончательное решение о том, является ли действие несоблюдением, принимается судом или иным соответствующим компетентным органом.</w:t>
            </w:r>
          </w:p>
          <w:p w14:paraId="1799D564" w14:textId="37E284F2" w:rsidR="008F3FC3" w:rsidRPr="008F3FC3" w:rsidRDefault="008F3FC3" w:rsidP="008F3FC3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МСА 250.</w:t>
            </w:r>
            <w:r>
              <w:rPr>
                <w:rFonts w:ascii="Arial" w:hAnsi="Arial"/>
                <w:i/>
                <w:vanish/>
                <w:sz w:val="20"/>
              </w:rPr>
              <w:t xml:space="preserve">6 </w:t>
            </w:r>
            <w:r w:rsidRPr="008F3FC3">
              <w:rPr>
                <w:rFonts w:ascii="Arial" w:hAnsi="Arial"/>
                <w:i/>
                <w:vanish/>
                <w:sz w:val="20"/>
              </w:rPr>
              <w:t>Настоящий стандарт различает обязанности аудитора в отношении соблюдения двух категорий законов и нормативных актов следующим образом (см. пункты A6, A12–A13):</w:t>
            </w:r>
          </w:p>
          <w:p w14:paraId="039C244A" w14:textId="77777777" w:rsidR="008F3FC3" w:rsidRPr="00267044" w:rsidRDefault="008F3FC3" w:rsidP="0026704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267044">
              <w:rPr>
                <w:rFonts w:ascii="Arial" w:hAnsi="Arial"/>
                <w:i/>
                <w:vanish/>
                <w:sz w:val="20"/>
              </w:rPr>
              <w:t>положения законов и нормативных актов, которые обычно признаются оказывающими непосредственное влияние на определение существенных показателей и раскрытие информации в финансовой отчетности, таких как налоговые и пенсионные законы и нормативные акты (см. пункты 14, A12);</w:t>
            </w:r>
          </w:p>
          <w:p w14:paraId="4CAC1412" w14:textId="77777777" w:rsidR="008F3FC3" w:rsidRPr="00267044" w:rsidRDefault="008F3FC3" w:rsidP="0026704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267044">
              <w:rPr>
                <w:rFonts w:ascii="Arial" w:hAnsi="Arial"/>
                <w:i/>
                <w:vanish/>
                <w:sz w:val="20"/>
              </w:rPr>
              <w:t>прочие законы и нормативные акты, которые не оказывают непосредственного влияния на определение показателей и раскрытие информации в финансовой отчетности, но соблюдение которых может оказаться основополагающим по отношению к операционным аспектам бизнеса, к способности организации продолжать ее деятельность или избежать существенных штрафных санкций (например, соблюдение условий лицензирования, соблюдение требований регулирующих органов по поддержанию платежеспособности или соблюдение нормативных актов по охране окружающей среды); несоблюдение таких законов и нормативных актов может, таким образом, оказать существенное влияние на финансовую отчетность (см. пункты 15, A13).</w:t>
            </w:r>
          </w:p>
          <w:p w14:paraId="0D8A3212" w14:textId="63FBC3A8" w:rsidR="00267044" w:rsidRPr="00267044" w:rsidRDefault="00267044" w:rsidP="00267044">
            <w:p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lastRenderedPageBreak/>
              <w:t>МСА 250.</w:t>
            </w:r>
            <w:r>
              <w:rPr>
                <w:rFonts w:ascii="Arial" w:hAnsi="Arial"/>
                <w:i/>
                <w:vanish/>
                <w:sz w:val="20"/>
              </w:rPr>
              <w:t xml:space="preserve">15 </w:t>
            </w:r>
            <w:r w:rsidRPr="00267044">
              <w:rPr>
                <w:rFonts w:ascii="Arial" w:hAnsi="Arial"/>
                <w:i/>
                <w:vanish/>
                <w:sz w:val="20"/>
              </w:rPr>
              <w:t>Аудитор должен выполнить следующие аудиторские процедуры, направленные на выявление случаев несоблюдения прочих законов и нормативных актов, которые могут оказать существенное влияние на финансовую отчетность (см. пункты A13–A14):</w:t>
            </w:r>
          </w:p>
          <w:p w14:paraId="09AF9E1B" w14:textId="77777777" w:rsidR="00267044" w:rsidRPr="00267044" w:rsidRDefault="00267044" w:rsidP="0026704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267044">
              <w:rPr>
                <w:rFonts w:ascii="Arial" w:hAnsi="Arial"/>
                <w:i/>
                <w:vanish/>
                <w:sz w:val="20"/>
              </w:rPr>
              <w:t>направление запросов в адрес руководства и, если уместно, лиц, отвечающих за корпоративное управление, относительно того, соблюдает ли организация такие законы и нормативные акты;</w:t>
            </w:r>
          </w:p>
          <w:p w14:paraId="315122D0" w14:textId="77777777" w:rsidR="00267044" w:rsidRPr="00267044" w:rsidRDefault="00267044" w:rsidP="0026704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50"/>
              <w:jc w:val="left"/>
              <w:rPr>
                <w:rFonts w:ascii="Arial" w:hAnsi="Arial"/>
                <w:i/>
                <w:vanish/>
                <w:sz w:val="20"/>
              </w:rPr>
            </w:pPr>
            <w:r w:rsidRPr="00267044">
              <w:rPr>
                <w:rFonts w:ascii="Arial" w:hAnsi="Arial"/>
                <w:i/>
                <w:vanish/>
                <w:sz w:val="20"/>
              </w:rPr>
              <w:t>изучение переписки, если такая имеется, с соответствующими лицензирующими и регулирующими органами.</w:t>
            </w:r>
          </w:p>
          <w:p w14:paraId="57BE5512" w14:textId="5523461B" w:rsidR="00267044" w:rsidRPr="0008462A" w:rsidRDefault="00BE015A" w:rsidP="008F3FC3">
            <w:pPr>
              <w:shd w:val="clear" w:color="auto" w:fill="FFFFFF"/>
              <w:spacing w:before="100" w:beforeAutospacing="1" w:after="150"/>
              <w:jc w:val="left"/>
              <w:rPr>
                <w:i/>
                <w:vanish/>
              </w:rPr>
            </w:pPr>
            <w:r w:rsidRPr="008F3FC3">
              <w:rPr>
                <w:rFonts w:ascii="Arial" w:hAnsi="Arial"/>
                <w:i/>
                <w:vanish/>
                <w:sz w:val="20"/>
              </w:rPr>
              <w:t>МСА 250.</w:t>
            </w:r>
            <w:r>
              <w:rPr>
                <w:rFonts w:ascii="Arial" w:hAnsi="Arial"/>
                <w:i/>
                <w:vanish/>
                <w:sz w:val="20"/>
              </w:rPr>
              <w:t>1</w:t>
            </w:r>
            <w:r>
              <w:rPr>
                <w:rFonts w:ascii="Arial" w:hAnsi="Arial"/>
                <w:i/>
                <w:vanish/>
                <w:sz w:val="20"/>
              </w:rPr>
              <w:t xml:space="preserve">7 </w:t>
            </w:r>
            <w:r w:rsidRPr="009A79E1">
              <w:rPr>
                <w:rFonts w:ascii="Arial" w:hAnsi="Arial"/>
                <w:i/>
                <w:vanish/>
                <w:sz w:val="20"/>
              </w:rPr>
              <w:t>Аудитор должен запросить у руководства и, если уместно, у лиц, отвечающих за корпоративное управление, письменные заявления о том, что все известные случаи несоблюдения или подозрения в несоблюдении законов и нормативных актов, влияние которых должно учитываться при подготовке финансовой отчетности, были раскрыты аудитору (см. пункт A16).</w:t>
            </w:r>
            <w:bookmarkStart w:id="2" w:name="_GoBack"/>
            <w:bookmarkEnd w:id="2"/>
          </w:p>
        </w:tc>
      </w:tr>
    </w:tbl>
    <w:p w14:paraId="16AEC664" w14:textId="77777777" w:rsidR="008F3FC3" w:rsidRDefault="008F3FC3" w:rsidP="008F3FC3">
      <w:pPr>
        <w:pStyle w:val="a5"/>
        <w:spacing w:line="240" w:lineRule="auto"/>
        <w:ind w:firstLine="708"/>
        <w:rPr>
          <w:rFonts w:ascii="Times New Roman" w:eastAsia="Calibri" w:hAnsi="Times New Roman" w:cs="Times New Roman"/>
          <w:b/>
          <w:szCs w:val="24"/>
        </w:rPr>
      </w:pPr>
    </w:p>
    <w:p w14:paraId="49FDA48C" w14:textId="77777777" w:rsidR="008F3FC3" w:rsidRDefault="008F3FC3" w:rsidP="008F3FC3">
      <w:pPr>
        <w:pStyle w:val="a5"/>
        <w:spacing w:line="240" w:lineRule="auto"/>
        <w:ind w:firstLine="708"/>
        <w:rPr>
          <w:rFonts w:ascii="Times New Roman" w:eastAsia="Calibri" w:hAnsi="Times New Roman" w:cs="Times New Roman"/>
          <w:b/>
          <w:szCs w:val="24"/>
        </w:rPr>
      </w:pPr>
    </w:p>
    <w:p w14:paraId="60E67EBE" w14:textId="05992CCC" w:rsidR="008F3FC3" w:rsidRDefault="008F3FC3" w:rsidP="008F3FC3">
      <w:pPr>
        <w:rPr>
          <w:rFonts w:eastAsia="Calibri"/>
        </w:rPr>
      </w:pPr>
    </w:p>
    <w:p w14:paraId="6058458E" w14:textId="35714250" w:rsidR="008F3FC3" w:rsidRDefault="008F3FC3" w:rsidP="008F3FC3">
      <w:pPr>
        <w:rPr>
          <w:rFonts w:eastAsia="Calibri"/>
        </w:rPr>
      </w:pPr>
    </w:p>
    <w:p w14:paraId="5509B5DA" w14:textId="77777777" w:rsidR="008F3FC3" w:rsidRPr="008F3FC3" w:rsidRDefault="008F3FC3" w:rsidP="008F3FC3">
      <w:pPr>
        <w:rPr>
          <w:rFonts w:eastAsia="Calibri"/>
        </w:rPr>
      </w:pPr>
    </w:p>
    <w:p w14:paraId="633B95C7" w14:textId="2DC00ADB" w:rsidR="001E351B" w:rsidRPr="008F3FC3" w:rsidRDefault="00943338" w:rsidP="00D07DD0">
      <w:pPr>
        <w:pStyle w:val="a5"/>
        <w:spacing w:line="240" w:lineRule="auto"/>
        <w:rPr>
          <w:rFonts w:ascii="Times New Roman" w:hAnsi="Times New Roman" w:cs="Times New Roman"/>
          <w:szCs w:val="24"/>
        </w:rPr>
      </w:pPr>
      <w:r w:rsidRPr="008F3FC3">
        <w:rPr>
          <w:rFonts w:ascii="Times New Roman" w:eastAsia="Calibri" w:hAnsi="Times New Roman" w:cs="Times New Roman"/>
          <w:b/>
          <w:szCs w:val="24"/>
        </w:rPr>
        <w:t>[</w:t>
      </w:r>
      <w:r w:rsidR="00691F6C" w:rsidRPr="00943338">
        <w:rPr>
          <w:rFonts w:ascii="Times New Roman" w:eastAsia="Calibri" w:hAnsi="Times New Roman" w:cs="Times New Roman"/>
          <w:b/>
          <w:i/>
          <w:szCs w:val="24"/>
        </w:rPr>
        <w:t>БЛАНК АУДИТОРСКОЙ ОРГАНИЗАЦИИ</w:t>
      </w:r>
      <w:r w:rsidRPr="008F3FC3">
        <w:rPr>
          <w:rFonts w:ascii="Times New Roman" w:hAnsi="Times New Roman" w:cs="Times New Roman"/>
          <w:szCs w:val="24"/>
        </w:rPr>
        <w:t>]</w:t>
      </w:r>
    </w:p>
    <w:p w14:paraId="7FEDD9B7" w14:textId="77777777" w:rsidR="00EF6542" w:rsidRPr="00691F6C" w:rsidRDefault="00EF6542" w:rsidP="00EF6542">
      <w:pPr>
        <w:spacing w:after="0"/>
        <w:ind w:firstLine="5954"/>
        <w:jc w:val="right"/>
        <w:rPr>
          <w:rFonts w:eastAsia="Calibri"/>
        </w:rPr>
      </w:pPr>
      <w:r w:rsidRPr="00691F6C">
        <w:rPr>
          <w:rFonts w:eastAsia="Calibri"/>
        </w:rPr>
        <w:t xml:space="preserve">Руководителю Клиента </w:t>
      </w:r>
    </w:p>
    <w:p w14:paraId="62C64D4B" w14:textId="77777777" w:rsidR="00EF6542" w:rsidRPr="00691F6C" w:rsidRDefault="00EF6542" w:rsidP="00EF6542">
      <w:pPr>
        <w:spacing w:after="0"/>
        <w:ind w:firstLine="5954"/>
        <w:jc w:val="right"/>
        <w:rPr>
          <w:rFonts w:eastAsia="Calibri"/>
        </w:rPr>
      </w:pPr>
      <w:r w:rsidRPr="00691F6C">
        <w:rPr>
          <w:rFonts w:eastAsia="Calibri"/>
        </w:rPr>
        <w:t>ФИО руководителя</w:t>
      </w:r>
    </w:p>
    <w:p w14:paraId="6C903459" w14:textId="77777777" w:rsidR="00693A5D" w:rsidRPr="00691F6C" w:rsidRDefault="00693A5D" w:rsidP="00EF6542"/>
    <w:p w14:paraId="73352F11" w14:textId="77777777" w:rsidR="001E351B" w:rsidRPr="00691F6C" w:rsidRDefault="001E351B" w:rsidP="00EF6542">
      <w:r w:rsidRPr="00691F6C">
        <w:t>Уважаемый</w:t>
      </w:r>
      <w:r w:rsidR="00BF3D93" w:rsidRPr="00CC7EF0">
        <w:t xml:space="preserve"> </w:t>
      </w:r>
      <w:r w:rsidR="00BF3D93" w:rsidRPr="00BF3D93">
        <w:t>[</w:t>
      </w:r>
      <w:r w:rsidR="00BF3D93" w:rsidRPr="00BF3D93">
        <w:rPr>
          <w:i/>
        </w:rPr>
        <w:t>Имя Отчество</w:t>
      </w:r>
      <w:r w:rsidR="00BF3D93" w:rsidRPr="00BF3D93">
        <w:t>]</w:t>
      </w:r>
      <w:r w:rsidRPr="00691F6C">
        <w:t>!</w:t>
      </w:r>
    </w:p>
    <w:p w14:paraId="5A5B9F60" w14:textId="77777777" w:rsidR="00EF6542" w:rsidRPr="00691F6C" w:rsidRDefault="00EF6542" w:rsidP="00EF6542"/>
    <w:p w14:paraId="07FE1DFD" w14:textId="2DECFE33" w:rsidR="00EF6542" w:rsidRPr="00CD595A" w:rsidRDefault="00EF6542" w:rsidP="00EF6542">
      <w:r w:rsidRPr="00691F6C">
        <w:t xml:space="preserve">В связи с проведением </w:t>
      </w:r>
      <w:r>
        <w:t>аудита</w:t>
      </w:r>
      <w:r w:rsidR="008F3FC3">
        <w:t xml:space="preserve"> </w:t>
      </w:r>
      <w:proofErr w:type="gramStart"/>
      <w:r w:rsidR="008F3FC3">
        <w:t xml:space="preserve">финансовой </w:t>
      </w:r>
      <w:r>
        <w:t xml:space="preserve"> отчетности</w:t>
      </w:r>
      <w:proofErr w:type="gramEnd"/>
      <w:r w:rsidRPr="00691F6C">
        <w:t xml:space="preserve"> </w:t>
      </w:r>
      <w:r w:rsidRPr="00CC7EF0">
        <w:t>[</w:t>
      </w:r>
      <w:r w:rsidRPr="00691F6C">
        <w:rPr>
          <w:i/>
        </w:rPr>
        <w:t xml:space="preserve">полное наименование </w:t>
      </w:r>
      <w:r>
        <w:rPr>
          <w:i/>
        </w:rPr>
        <w:t>клиента</w:t>
      </w:r>
      <w:r w:rsidRPr="00CC7EF0">
        <w:t xml:space="preserve">] </w:t>
      </w:r>
      <w:r>
        <w:t xml:space="preserve">за 201Х год </w:t>
      </w:r>
      <w:r w:rsidRPr="00691F6C">
        <w:t xml:space="preserve">и на основании </w:t>
      </w:r>
      <w:r w:rsidRPr="00CD595A">
        <w:t xml:space="preserve">требований </w:t>
      </w:r>
      <w:r>
        <w:t xml:space="preserve">МСА </w:t>
      </w:r>
      <w:r w:rsidRPr="00E20DA7">
        <w:t xml:space="preserve"> </w:t>
      </w:r>
      <w:r>
        <w:t>250</w:t>
      </w:r>
      <w:r w:rsidRPr="00E20DA7">
        <w:t xml:space="preserve"> «</w:t>
      </w:r>
      <w:r>
        <w:t>Рассмотрение законов и нормативных актов в ходе аудита финансовой отчетности</w:t>
      </w:r>
      <w:r w:rsidRPr="00E20DA7">
        <w:t>»</w:t>
      </w:r>
      <w:r w:rsidRPr="00CD595A">
        <w:t xml:space="preserve"> просим Вас сообщить нам:</w:t>
      </w:r>
    </w:p>
    <w:p w14:paraId="5DB9B111" w14:textId="4CF7DE39" w:rsidR="00A85790" w:rsidRPr="00A85790" w:rsidRDefault="00EF6542" w:rsidP="00A85790">
      <w:pPr>
        <w:pStyle w:val="ListBullet"/>
      </w:pPr>
      <w:r w:rsidRPr="00CD595A">
        <w:t xml:space="preserve">перечень </w:t>
      </w:r>
      <w:r w:rsidR="00A85790">
        <w:t xml:space="preserve">значимых законов и </w:t>
      </w:r>
      <w:r w:rsidRPr="00CD595A">
        <w:t>нормативн</w:t>
      </w:r>
      <w:r w:rsidR="00F66D21">
        <w:t xml:space="preserve">ых </w:t>
      </w:r>
      <w:r w:rsidRPr="00CD595A">
        <w:t>правовых актов, регулирующих финансово-хозяйственную деятельность Вашей организации</w:t>
      </w:r>
      <w:r w:rsidR="00A85790">
        <w:t xml:space="preserve">, </w:t>
      </w:r>
      <w:r w:rsidR="00A85790" w:rsidRPr="00A85790">
        <w:t xml:space="preserve">которые должна соблюдать организация при осуществлении деятельности в </w:t>
      </w:r>
      <w:r w:rsidR="00A85790">
        <w:t>Вашей</w:t>
      </w:r>
      <w:r w:rsidR="00A85790" w:rsidRPr="00A85790">
        <w:t xml:space="preserve"> отрасли</w:t>
      </w:r>
      <w:r w:rsidR="00A85790">
        <w:t xml:space="preserve"> </w:t>
      </w:r>
      <w:r w:rsidR="00A85790" w:rsidRPr="00A85790">
        <w:t>(</w:t>
      </w:r>
      <w:r w:rsidR="00A85790">
        <w:t xml:space="preserve">в первую очередь </w:t>
      </w:r>
      <w:r w:rsidR="00A85790" w:rsidRPr="00A85790">
        <w:t>указать те акты, которые о</w:t>
      </w:r>
      <w:r w:rsidR="00267044" w:rsidRPr="00A85790">
        <w:t>казыва</w:t>
      </w:r>
      <w:r w:rsidR="00A85790" w:rsidRPr="00A85790">
        <w:t>ют</w:t>
      </w:r>
      <w:r w:rsidR="00267044" w:rsidRPr="00A85790">
        <w:t xml:space="preserve"> непосредственное влияние на определение существенных показателей и раскрытие информации в финансовой отчетности</w:t>
      </w:r>
      <w:r w:rsidR="00A85790" w:rsidRPr="00A85790">
        <w:t>)</w:t>
      </w:r>
      <w:r w:rsidR="00267044" w:rsidRPr="00A85790">
        <w:t>;</w:t>
      </w:r>
    </w:p>
    <w:p w14:paraId="05B48A64" w14:textId="4E30CA67" w:rsidR="00EF6542" w:rsidRDefault="00F66D21" w:rsidP="00164733">
      <w:pPr>
        <w:pStyle w:val="ListBullet"/>
        <w:spacing w:after="60"/>
      </w:pPr>
      <w:r w:rsidRPr="00CD595A">
        <w:t xml:space="preserve">перечень </w:t>
      </w:r>
      <w:r w:rsidR="00EF6542" w:rsidRPr="00CD595A">
        <w:t>разработанны</w:t>
      </w:r>
      <w:r>
        <w:t>х в Вашей организации процедур</w:t>
      </w:r>
      <w:r w:rsidR="00EF6542" w:rsidRPr="00CD595A">
        <w:t xml:space="preserve">, направленных на соблюдение руководством и сотрудниками Вашей организации </w:t>
      </w:r>
      <w:r>
        <w:t xml:space="preserve">законов и </w:t>
      </w:r>
      <w:r w:rsidR="00EF6542" w:rsidRPr="00CD595A">
        <w:t>нормативных правовых актов;</w:t>
      </w:r>
    </w:p>
    <w:p w14:paraId="0EAB60E3" w14:textId="2F1A04D5" w:rsidR="00A85790" w:rsidRPr="00A85790" w:rsidRDefault="00A85790" w:rsidP="00164733">
      <w:pPr>
        <w:pStyle w:val="ListBullet"/>
        <w:spacing w:after="60"/>
      </w:pPr>
      <w:r>
        <w:t>о</w:t>
      </w:r>
      <w:r w:rsidRPr="00A85790">
        <w:t>существляется ли в Вашей организации мониторинг требований законов и обеспечение того, чтобы операционные процедуры разрабатывались с учетом необходимости соблюдения требований законодательства.</w:t>
      </w:r>
      <w:r>
        <w:t xml:space="preserve"> Кто отвечает за выполнение</w:t>
      </w:r>
      <w:r>
        <w:t>?</w:t>
      </w:r>
    </w:p>
    <w:p w14:paraId="7A2DC417" w14:textId="4B934F8B" w:rsidR="00F66D21" w:rsidRPr="00CD595A" w:rsidRDefault="00A85790" w:rsidP="00164733">
      <w:pPr>
        <w:pStyle w:val="ListBullet"/>
        <w:spacing w:after="60"/>
      </w:pPr>
      <w:r>
        <w:t>в</w:t>
      </w:r>
      <w:r w:rsidR="00F66D21">
        <w:t>ашу оценку соблюдения</w:t>
      </w:r>
      <w:r w:rsidR="00F66D21" w:rsidRPr="00F66D21">
        <w:t xml:space="preserve"> </w:t>
      </w:r>
      <w:r w:rsidR="00F66D21">
        <w:t xml:space="preserve">Вашей организацией и ее сотрудниками законов и </w:t>
      </w:r>
      <w:r w:rsidR="00F66D21" w:rsidRPr="00CD595A">
        <w:t>нормативных правовых актов</w:t>
      </w:r>
      <w:r w:rsidR="00F66D21">
        <w:t>;</w:t>
      </w:r>
    </w:p>
    <w:p w14:paraId="09560DE1" w14:textId="77777777" w:rsidR="00A85790" w:rsidRPr="00A85790" w:rsidRDefault="00F66D21" w:rsidP="00164733">
      <w:pPr>
        <w:pStyle w:val="ListBullet"/>
        <w:spacing w:after="60"/>
      </w:pPr>
      <w:r>
        <w:t xml:space="preserve">перечень </w:t>
      </w:r>
      <w:r w:rsidR="00EF6542" w:rsidRPr="00CD595A">
        <w:t xml:space="preserve">ведущихся в отношении </w:t>
      </w:r>
      <w:r>
        <w:t>В</w:t>
      </w:r>
      <w:r w:rsidR="00EF6542" w:rsidRPr="00CD595A">
        <w:t>ашей организации судебных разбирательств или предъявленных санкций</w:t>
      </w:r>
      <w:r w:rsidR="00A85790">
        <w:t>;</w:t>
      </w:r>
      <w:r w:rsidR="00A85790" w:rsidRPr="00A85790">
        <w:t xml:space="preserve"> </w:t>
      </w:r>
    </w:p>
    <w:p w14:paraId="39449C5B" w14:textId="07C24121" w:rsidR="00A85790" w:rsidRDefault="00A85790" w:rsidP="00D204F8">
      <w:pPr>
        <w:pStyle w:val="ListBullet"/>
        <w:spacing w:after="60"/>
      </w:pPr>
      <w:r w:rsidRPr="00A85790">
        <w:t>привле</w:t>
      </w:r>
      <w:r w:rsidRPr="00A85790">
        <w:t>кались ли</w:t>
      </w:r>
      <w:r w:rsidRPr="00A85790">
        <w:t xml:space="preserve"> юрист</w:t>
      </w:r>
      <w:r w:rsidRPr="00A85790">
        <w:t>ы</w:t>
      </w:r>
      <w:r w:rsidRPr="00A85790">
        <w:t xml:space="preserve"> для оказания помощи в мониторинге</w:t>
      </w:r>
      <w:r>
        <w:t xml:space="preserve"> выполнения</w:t>
      </w:r>
      <w:r w:rsidRPr="00A85790">
        <w:t xml:space="preserve"> требований законов</w:t>
      </w:r>
      <w:r w:rsidRPr="00A85790">
        <w:t xml:space="preserve"> и трактовки тех или иных вопросов законодательства.</w:t>
      </w:r>
    </w:p>
    <w:p w14:paraId="520FABB3" w14:textId="77777777" w:rsidR="00EF6542" w:rsidRPr="00CD595A" w:rsidRDefault="00EF6542" w:rsidP="00EF6542">
      <w:r w:rsidRPr="00CD595A">
        <w:t xml:space="preserve">Указанную информацию просим предоставить за </w:t>
      </w:r>
      <w:r w:rsidR="001A3B44">
        <w:t xml:space="preserve">201Х и </w:t>
      </w:r>
      <w:r w:rsidR="001A3B44" w:rsidRPr="00CD595A">
        <w:t xml:space="preserve">предыдущий </w:t>
      </w:r>
      <w:r w:rsidR="001A3B44">
        <w:t>год</w:t>
      </w:r>
      <w:r w:rsidR="00F66D21">
        <w:t>ы</w:t>
      </w:r>
      <w:r w:rsidRPr="00CD595A">
        <w:t>.</w:t>
      </w:r>
    </w:p>
    <w:p w14:paraId="3E3ACF63" w14:textId="77777777" w:rsidR="003B6EAB" w:rsidRPr="00691F6C" w:rsidRDefault="003B6EAB" w:rsidP="00EF6542">
      <w:r w:rsidRPr="00EF6542">
        <w:t>Ответы</w:t>
      </w:r>
      <w:r w:rsidRPr="00691F6C">
        <w:t xml:space="preserve"> на запрашиваемую информацию просим предоставить за подписью руководителя организации с указанием даты</w:t>
      </w:r>
      <w:r w:rsidRPr="00691F6C">
        <w:rPr>
          <w:b/>
        </w:rPr>
        <w:t xml:space="preserve"> </w:t>
      </w:r>
      <w:r w:rsidRPr="00691F6C">
        <w:t>составления ответа.</w:t>
      </w:r>
    </w:p>
    <w:p w14:paraId="7132EF3D" w14:textId="77777777" w:rsidR="002C6202" w:rsidRPr="00D07DD0" w:rsidRDefault="002C6202" w:rsidP="00EF6542">
      <w:r w:rsidRPr="00691F6C">
        <w:lastRenderedPageBreak/>
        <w:t xml:space="preserve">Ответ на наш запрос просим направлять </w:t>
      </w:r>
      <w:r w:rsidR="00227D42">
        <w:t>по</w:t>
      </w:r>
      <w:r w:rsidRPr="00691F6C">
        <w:t xml:space="preserve"> адрес</w:t>
      </w:r>
      <w:r w:rsidR="00227D42">
        <w:t>у</w:t>
      </w:r>
      <w:r w:rsidRPr="00691F6C">
        <w:t>:</w:t>
      </w:r>
      <w:r w:rsidR="00D07DD0" w:rsidRPr="00CC7EF0">
        <w:t xml:space="preserve"> [</w:t>
      </w:r>
      <w:r w:rsidR="00D07DD0" w:rsidRPr="00BF3D93">
        <w:rPr>
          <w:i/>
        </w:rPr>
        <w:t>укажите адрес аудиторской организации</w:t>
      </w:r>
      <w:r w:rsidR="00D07DD0" w:rsidRPr="00CC7EF0">
        <w:t>]</w:t>
      </w:r>
      <w:r w:rsidR="00D07DD0">
        <w:t>.</w:t>
      </w:r>
    </w:p>
    <w:p w14:paraId="4A10F50A" w14:textId="77777777" w:rsidR="001E6962" w:rsidRDefault="006418DC" w:rsidP="00EF6542">
      <w:r w:rsidRPr="00691F6C">
        <w:t xml:space="preserve">C уважением, </w:t>
      </w:r>
    </w:p>
    <w:p w14:paraId="07956078" w14:textId="77777777" w:rsidR="003B6EAB" w:rsidRPr="00691F6C" w:rsidRDefault="00D07DD0" w:rsidP="00EF6542">
      <w:pPr>
        <w:rPr>
          <w:lang w:eastAsia="ru-RU"/>
        </w:rPr>
      </w:pPr>
      <w:r>
        <w:t>ФИО, дата.</w:t>
      </w:r>
      <w:r w:rsidR="00EF6542" w:rsidRPr="00691F6C">
        <w:rPr>
          <w:lang w:eastAsia="ru-RU"/>
        </w:rPr>
        <w:t xml:space="preserve"> </w:t>
      </w:r>
    </w:p>
    <w:p w14:paraId="61125CE0" w14:textId="77777777" w:rsidR="008F3FC3" w:rsidRPr="00352F18" w:rsidRDefault="008F3FC3" w:rsidP="008F3FC3">
      <w:pPr>
        <w:spacing w:line="276" w:lineRule="auto"/>
      </w:pPr>
      <w:r w:rsidRPr="00352F18">
        <w:t>Руководитель аудиторской организации</w:t>
      </w:r>
    </w:p>
    <w:p w14:paraId="08A29B49" w14:textId="77777777" w:rsidR="00D07DD0" w:rsidRDefault="00D07DD0" w:rsidP="00EF6542"/>
    <w:sectPr w:rsidR="00D07DD0" w:rsidSect="00691F6C">
      <w:headerReference w:type="even" r:id="rId8"/>
      <w:headerReference w:type="first" r:id="rId9"/>
      <w:pgSz w:w="11906" w:h="16838" w:code="9"/>
      <w:pgMar w:top="521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0990" w14:textId="77777777" w:rsidR="00EB1F02" w:rsidRDefault="00EB1F02" w:rsidP="00EF6542">
      <w:r>
        <w:separator/>
      </w:r>
    </w:p>
    <w:p w14:paraId="2CC88DB0" w14:textId="77777777" w:rsidR="00EB1F02" w:rsidRDefault="00EB1F02" w:rsidP="00EF6542"/>
    <w:p w14:paraId="24F07181" w14:textId="77777777" w:rsidR="00EB1F02" w:rsidRDefault="00EB1F02" w:rsidP="00EF6542"/>
  </w:endnote>
  <w:endnote w:type="continuationSeparator" w:id="0">
    <w:p w14:paraId="0E278DFB" w14:textId="77777777" w:rsidR="00EB1F02" w:rsidRDefault="00EB1F02" w:rsidP="00EF6542">
      <w:r>
        <w:continuationSeparator/>
      </w:r>
    </w:p>
    <w:p w14:paraId="1E7E9E0B" w14:textId="77777777" w:rsidR="00EB1F02" w:rsidRDefault="00EB1F02" w:rsidP="00EF6542"/>
    <w:p w14:paraId="7A81C6E3" w14:textId="77777777" w:rsidR="00EB1F02" w:rsidRDefault="00EB1F02" w:rsidP="00EF6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3DD41" w14:textId="77777777" w:rsidR="00EB1F02" w:rsidRDefault="00EB1F02" w:rsidP="00EF6542">
      <w:r>
        <w:separator/>
      </w:r>
    </w:p>
    <w:p w14:paraId="15FBD8E3" w14:textId="77777777" w:rsidR="00EB1F02" w:rsidRDefault="00EB1F02" w:rsidP="00EF6542"/>
    <w:p w14:paraId="79BC40DF" w14:textId="77777777" w:rsidR="00EB1F02" w:rsidRDefault="00EB1F02" w:rsidP="00EF6542"/>
  </w:footnote>
  <w:footnote w:type="continuationSeparator" w:id="0">
    <w:p w14:paraId="2DF39963" w14:textId="77777777" w:rsidR="00EB1F02" w:rsidRDefault="00EB1F02" w:rsidP="00EF6542">
      <w:r>
        <w:continuationSeparator/>
      </w:r>
    </w:p>
    <w:p w14:paraId="75504121" w14:textId="77777777" w:rsidR="00EB1F02" w:rsidRDefault="00EB1F02" w:rsidP="00EF6542"/>
    <w:p w14:paraId="22DF8AD9" w14:textId="77777777" w:rsidR="00EB1F02" w:rsidRDefault="00EB1F02" w:rsidP="00EF6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B0FC" w14:textId="77777777" w:rsidR="00F0513C" w:rsidRDefault="0089403F" w:rsidP="001F4F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51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5A8A8" w14:textId="77777777" w:rsidR="00F0513C" w:rsidRDefault="00F0513C" w:rsidP="00F0513C">
    <w:pPr>
      <w:pStyle w:val="Header"/>
      <w:ind w:right="360"/>
    </w:pPr>
  </w:p>
  <w:p w14:paraId="24643190" w14:textId="77777777" w:rsidR="001F4FBC" w:rsidRDefault="001F4FBC" w:rsidP="00EF6542"/>
  <w:p w14:paraId="32CE36F5" w14:textId="77777777" w:rsidR="00C7054B" w:rsidRDefault="00C7054B" w:rsidP="00EF6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2DE0" w14:textId="77777777" w:rsidR="00691F6C" w:rsidRPr="00691F6C" w:rsidRDefault="00691F6C" w:rsidP="00EF6542">
    <w:pPr>
      <w:rPr>
        <w:rFonts w:ascii="Arial" w:hAnsi="Arial"/>
        <w:lang w:eastAsia="en-GB"/>
      </w:rPr>
    </w:pPr>
    <w:r w:rsidRPr="00691F6C">
      <w:rPr>
        <w:lang w:eastAsia="en-GB"/>
      </w:rPr>
      <w:t>Разработано и рекомендовано для членов ААС</w:t>
    </w:r>
  </w:p>
  <w:p w14:paraId="1EDCB95A" w14:textId="77777777" w:rsidR="00A11989" w:rsidRPr="00E05086" w:rsidRDefault="00A11989" w:rsidP="009977F6">
    <w:pPr>
      <w:pStyle w:val="Header"/>
      <w:rPr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74B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7C6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CA99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C1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64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E7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4C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82684F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487C"/>
    <w:multiLevelType w:val="hybridMultilevel"/>
    <w:tmpl w:val="1852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A1C20"/>
    <w:multiLevelType w:val="hybridMultilevel"/>
    <w:tmpl w:val="4E00C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CD4187"/>
    <w:multiLevelType w:val="multilevel"/>
    <w:tmpl w:val="787CA018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ECA0A28"/>
    <w:multiLevelType w:val="multilevel"/>
    <w:tmpl w:val="B8C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7B5731"/>
    <w:multiLevelType w:val="hybridMultilevel"/>
    <w:tmpl w:val="639C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EA5951"/>
    <w:multiLevelType w:val="multilevel"/>
    <w:tmpl w:val="883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AF5E4B"/>
    <w:multiLevelType w:val="multilevel"/>
    <w:tmpl w:val="2186564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7353C7"/>
    <w:multiLevelType w:val="hybridMultilevel"/>
    <w:tmpl w:val="55AE7D3A"/>
    <w:lvl w:ilvl="0" w:tplc="BFBC115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B11"/>
    <w:multiLevelType w:val="multilevel"/>
    <w:tmpl w:val="53A8BF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87A6AE0"/>
    <w:multiLevelType w:val="multilevel"/>
    <w:tmpl w:val="917A578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B453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C10BFD"/>
    <w:multiLevelType w:val="hybridMultilevel"/>
    <w:tmpl w:val="179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B2297"/>
    <w:multiLevelType w:val="hybridMultilevel"/>
    <w:tmpl w:val="697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5799"/>
    <w:multiLevelType w:val="multilevel"/>
    <w:tmpl w:val="9E209BCC"/>
    <w:styleLink w:val="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2A55DF"/>
    <w:multiLevelType w:val="multilevel"/>
    <w:tmpl w:val="01FA2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640B83"/>
    <w:multiLevelType w:val="hybridMultilevel"/>
    <w:tmpl w:val="895872E0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5" w15:restartNumberingAfterBreak="0">
    <w:nsid w:val="5D862E66"/>
    <w:multiLevelType w:val="multilevel"/>
    <w:tmpl w:val="5F6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62C53"/>
    <w:multiLevelType w:val="multilevel"/>
    <w:tmpl w:val="7506E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AA4DCB"/>
    <w:multiLevelType w:val="multilevel"/>
    <w:tmpl w:val="F330FDDC"/>
    <w:styleLink w:val="a1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A4209F"/>
    <w:multiLevelType w:val="hybridMultilevel"/>
    <w:tmpl w:val="66D2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736F1"/>
    <w:multiLevelType w:val="hybridMultilevel"/>
    <w:tmpl w:val="D3A4B87A"/>
    <w:lvl w:ilvl="0" w:tplc="C2BC2B5C">
      <w:start w:val="1"/>
      <w:numFmt w:val="bullet"/>
      <w:pStyle w:val="a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3D2A4B"/>
    <w:multiLevelType w:val="hybridMultilevel"/>
    <w:tmpl w:val="5BB8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D51CE"/>
    <w:multiLevelType w:val="hybridMultilevel"/>
    <w:tmpl w:val="23BAEA5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8594E96"/>
    <w:multiLevelType w:val="multilevel"/>
    <w:tmpl w:val="E582610A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0"/>
  </w:num>
  <w:num w:numId="5">
    <w:abstractNumId w:val="32"/>
  </w:num>
  <w:num w:numId="6">
    <w:abstractNumId w:val="22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9"/>
  </w:num>
  <w:num w:numId="17">
    <w:abstractNumId w:val="29"/>
  </w:num>
  <w:num w:numId="18">
    <w:abstractNumId w:val="19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10"/>
  </w:num>
  <w:num w:numId="24">
    <w:abstractNumId w:val="21"/>
  </w:num>
  <w:num w:numId="25">
    <w:abstractNumId w:val="9"/>
  </w:num>
  <w:num w:numId="26">
    <w:abstractNumId w:val="26"/>
  </w:num>
  <w:num w:numId="27">
    <w:abstractNumId w:val="13"/>
  </w:num>
  <w:num w:numId="28">
    <w:abstractNumId w:val="23"/>
  </w:num>
  <w:num w:numId="29">
    <w:abstractNumId w:val="11"/>
  </w:num>
  <w:num w:numId="30">
    <w:abstractNumId w:val="31"/>
  </w:num>
  <w:num w:numId="31">
    <w:abstractNumId w:val="8"/>
  </w:num>
  <w:num w:numId="32">
    <w:abstractNumId w:val="16"/>
  </w:num>
  <w:num w:numId="33">
    <w:abstractNumId w:val="25"/>
  </w:num>
  <w:num w:numId="34">
    <w:abstractNumId w:val="30"/>
  </w:num>
  <w:num w:numId="35">
    <w:abstractNumId w:val="28"/>
  </w:num>
  <w:num w:numId="3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B"/>
    <w:rsid w:val="00024BF6"/>
    <w:rsid w:val="00025207"/>
    <w:rsid w:val="00095775"/>
    <w:rsid w:val="000A70EE"/>
    <w:rsid w:val="000C0F54"/>
    <w:rsid w:val="000D6774"/>
    <w:rsid w:val="0010270E"/>
    <w:rsid w:val="001246FB"/>
    <w:rsid w:val="00154291"/>
    <w:rsid w:val="00163D3B"/>
    <w:rsid w:val="00164733"/>
    <w:rsid w:val="001755FF"/>
    <w:rsid w:val="00194928"/>
    <w:rsid w:val="001A3B44"/>
    <w:rsid w:val="001B4B8F"/>
    <w:rsid w:val="001C64A7"/>
    <w:rsid w:val="001E31AA"/>
    <w:rsid w:val="001E351B"/>
    <w:rsid w:val="001E6962"/>
    <w:rsid w:val="001F4FBC"/>
    <w:rsid w:val="00201031"/>
    <w:rsid w:val="00207041"/>
    <w:rsid w:val="002123A1"/>
    <w:rsid w:val="00222B09"/>
    <w:rsid w:val="00227D42"/>
    <w:rsid w:val="0023782D"/>
    <w:rsid w:val="00267044"/>
    <w:rsid w:val="00270F1E"/>
    <w:rsid w:val="00293BFA"/>
    <w:rsid w:val="00294337"/>
    <w:rsid w:val="002A2A37"/>
    <w:rsid w:val="002B3786"/>
    <w:rsid w:val="002C46D9"/>
    <w:rsid w:val="002C6202"/>
    <w:rsid w:val="0030369D"/>
    <w:rsid w:val="00315E6B"/>
    <w:rsid w:val="0031691B"/>
    <w:rsid w:val="00324CE0"/>
    <w:rsid w:val="00343027"/>
    <w:rsid w:val="00344659"/>
    <w:rsid w:val="00364375"/>
    <w:rsid w:val="00365B5A"/>
    <w:rsid w:val="00380354"/>
    <w:rsid w:val="0038768D"/>
    <w:rsid w:val="003A4329"/>
    <w:rsid w:val="003A5454"/>
    <w:rsid w:val="003B0127"/>
    <w:rsid w:val="003B6EAB"/>
    <w:rsid w:val="003F2363"/>
    <w:rsid w:val="004257E2"/>
    <w:rsid w:val="00437AFF"/>
    <w:rsid w:val="00455129"/>
    <w:rsid w:val="004676FE"/>
    <w:rsid w:val="00467E7E"/>
    <w:rsid w:val="004850E7"/>
    <w:rsid w:val="00496EE2"/>
    <w:rsid w:val="004A5D93"/>
    <w:rsid w:val="004A6E3A"/>
    <w:rsid w:val="004B456E"/>
    <w:rsid w:val="004C311F"/>
    <w:rsid w:val="005025BC"/>
    <w:rsid w:val="00521C2B"/>
    <w:rsid w:val="0052619E"/>
    <w:rsid w:val="00556983"/>
    <w:rsid w:val="00577B71"/>
    <w:rsid w:val="00584D87"/>
    <w:rsid w:val="005D0D37"/>
    <w:rsid w:val="005D5D54"/>
    <w:rsid w:val="005D7C2A"/>
    <w:rsid w:val="005E3071"/>
    <w:rsid w:val="005F2075"/>
    <w:rsid w:val="0061610E"/>
    <w:rsid w:val="006339BB"/>
    <w:rsid w:val="006418DC"/>
    <w:rsid w:val="00691F6C"/>
    <w:rsid w:val="00693963"/>
    <w:rsid w:val="00693A5D"/>
    <w:rsid w:val="006A2AE1"/>
    <w:rsid w:val="006A6933"/>
    <w:rsid w:val="006D493B"/>
    <w:rsid w:val="006E6941"/>
    <w:rsid w:val="006F3658"/>
    <w:rsid w:val="00726DD5"/>
    <w:rsid w:val="0075724D"/>
    <w:rsid w:val="00764ECE"/>
    <w:rsid w:val="00773701"/>
    <w:rsid w:val="00775D45"/>
    <w:rsid w:val="00784BC8"/>
    <w:rsid w:val="007B2D1F"/>
    <w:rsid w:val="007B429D"/>
    <w:rsid w:val="007D4475"/>
    <w:rsid w:val="007D6DCB"/>
    <w:rsid w:val="00802ED9"/>
    <w:rsid w:val="00815A08"/>
    <w:rsid w:val="008676EF"/>
    <w:rsid w:val="0089403F"/>
    <w:rsid w:val="00897F42"/>
    <w:rsid w:val="008C288E"/>
    <w:rsid w:val="008F3FC3"/>
    <w:rsid w:val="00926C32"/>
    <w:rsid w:val="00943338"/>
    <w:rsid w:val="00952D0F"/>
    <w:rsid w:val="00981704"/>
    <w:rsid w:val="009935AE"/>
    <w:rsid w:val="009977F6"/>
    <w:rsid w:val="009A7386"/>
    <w:rsid w:val="009A79E1"/>
    <w:rsid w:val="009B5FA2"/>
    <w:rsid w:val="009D5C37"/>
    <w:rsid w:val="00A11989"/>
    <w:rsid w:val="00A13FDD"/>
    <w:rsid w:val="00A3128B"/>
    <w:rsid w:val="00A459B6"/>
    <w:rsid w:val="00A54A17"/>
    <w:rsid w:val="00A76AD6"/>
    <w:rsid w:val="00A85790"/>
    <w:rsid w:val="00A90767"/>
    <w:rsid w:val="00AD2828"/>
    <w:rsid w:val="00AE154E"/>
    <w:rsid w:val="00B01771"/>
    <w:rsid w:val="00B1129F"/>
    <w:rsid w:val="00B17870"/>
    <w:rsid w:val="00B377CF"/>
    <w:rsid w:val="00B44FA0"/>
    <w:rsid w:val="00B72F82"/>
    <w:rsid w:val="00B868FA"/>
    <w:rsid w:val="00BC3874"/>
    <w:rsid w:val="00BE015A"/>
    <w:rsid w:val="00BE1ADD"/>
    <w:rsid w:val="00BE7987"/>
    <w:rsid w:val="00BF1F60"/>
    <w:rsid w:val="00BF3D93"/>
    <w:rsid w:val="00C074E5"/>
    <w:rsid w:val="00C11008"/>
    <w:rsid w:val="00C14874"/>
    <w:rsid w:val="00C16C69"/>
    <w:rsid w:val="00C220F5"/>
    <w:rsid w:val="00C34ADC"/>
    <w:rsid w:val="00C40565"/>
    <w:rsid w:val="00C569CC"/>
    <w:rsid w:val="00C7054B"/>
    <w:rsid w:val="00CC7EF0"/>
    <w:rsid w:val="00D07DD0"/>
    <w:rsid w:val="00D134F0"/>
    <w:rsid w:val="00D234A6"/>
    <w:rsid w:val="00D47A96"/>
    <w:rsid w:val="00D50E0A"/>
    <w:rsid w:val="00DA5D57"/>
    <w:rsid w:val="00DA6BC1"/>
    <w:rsid w:val="00DB2C91"/>
    <w:rsid w:val="00DC4278"/>
    <w:rsid w:val="00DD5ECD"/>
    <w:rsid w:val="00DE73FF"/>
    <w:rsid w:val="00DF3A9B"/>
    <w:rsid w:val="00E05086"/>
    <w:rsid w:val="00E12E56"/>
    <w:rsid w:val="00E14110"/>
    <w:rsid w:val="00E26A61"/>
    <w:rsid w:val="00E60DD7"/>
    <w:rsid w:val="00E7075B"/>
    <w:rsid w:val="00EB0A99"/>
    <w:rsid w:val="00EB1F02"/>
    <w:rsid w:val="00EC3D55"/>
    <w:rsid w:val="00EE1ABD"/>
    <w:rsid w:val="00EF4CA9"/>
    <w:rsid w:val="00EF5775"/>
    <w:rsid w:val="00EF6542"/>
    <w:rsid w:val="00F001AB"/>
    <w:rsid w:val="00F0057D"/>
    <w:rsid w:val="00F0513C"/>
    <w:rsid w:val="00F17825"/>
    <w:rsid w:val="00F2402F"/>
    <w:rsid w:val="00F341EB"/>
    <w:rsid w:val="00F57216"/>
    <w:rsid w:val="00F66D21"/>
    <w:rsid w:val="00F832D5"/>
    <w:rsid w:val="00F97CE2"/>
    <w:rsid w:val="00FC451E"/>
    <w:rsid w:val="00FD068D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C8A419"/>
  <w15:docId w15:val="{60ED52B1-0C44-47DA-B3A8-860154FB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nhideWhenUsed/>
    <w:qFormat/>
    <w:rsid w:val="00EF6542"/>
    <w:pPr>
      <w:spacing w:after="10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semiHidden/>
    <w:unhideWhenUsed/>
    <w:qFormat/>
    <w:rsid w:val="001C64A7"/>
    <w:pPr>
      <w:keepNext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unhideWhenUsed/>
    <w:qFormat/>
    <w:rsid w:val="002C6202"/>
    <w:pPr>
      <w:outlineLvl w:val="1"/>
    </w:pPr>
    <w:rPr>
      <w:bCs w:val="0"/>
      <w:color w:val="auto"/>
      <w:sz w:val="20"/>
      <w:szCs w:val="24"/>
    </w:rPr>
  </w:style>
  <w:style w:type="paragraph" w:styleId="Heading3">
    <w:name w:val="heading 3"/>
    <w:basedOn w:val="Heading2"/>
    <w:next w:val="BodyText"/>
    <w:semiHidden/>
    <w:unhideWhenUsed/>
    <w:qFormat/>
    <w:rsid w:val="001C64A7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semiHidden/>
    <w:unhideWhenUsed/>
    <w:qFormat/>
    <w:rsid w:val="001C64A7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semiHidden/>
    <w:unhideWhenUsed/>
    <w:rsid w:val="001C64A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rsid w:val="001C64A7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unhideWhenUsed/>
    <w:rsid w:val="001C64A7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rsid w:val="001C64A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rsid w:val="001C64A7"/>
    <w:pPr>
      <w:numPr>
        <w:ilvl w:val="8"/>
        <w:numId w:val="3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qFormat/>
    <w:rsid w:val="00F341EB"/>
    <w:pPr>
      <w:spacing w:after="220" w:line="260" w:lineRule="exact"/>
    </w:pPr>
  </w:style>
  <w:style w:type="paragraph" w:styleId="Subtitle">
    <w:name w:val="Subtitle"/>
    <w:semiHidden/>
    <w:unhideWhenUsed/>
    <w:qFormat/>
    <w:rsid w:val="001C64A7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styleId="Header">
    <w:name w:val="header"/>
    <w:link w:val="HeaderChar"/>
    <w:rsid w:val="006F3658"/>
    <w:pPr>
      <w:tabs>
        <w:tab w:val="right" w:pos="8562"/>
      </w:tabs>
      <w:jc w:val="right"/>
    </w:pPr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3">
    <w:name w:val="Дисклеймер"/>
    <w:link w:val="a4"/>
    <w:rsid w:val="00294337"/>
    <w:pPr>
      <w:spacing w:line="120" w:lineRule="atLeast"/>
    </w:pPr>
    <w:rPr>
      <w:rFonts w:ascii="Arial" w:hAnsi="Arial" w:cs="Arial"/>
      <w:sz w:val="10"/>
      <w:lang w:eastAsia="en-US"/>
    </w:rPr>
  </w:style>
  <w:style w:type="paragraph" w:styleId="ListBullet">
    <w:name w:val="List Bullet"/>
    <w:basedOn w:val="Normal"/>
    <w:link w:val="ListBulletChar"/>
    <w:qFormat/>
    <w:rsid w:val="00F57216"/>
    <w:pPr>
      <w:numPr>
        <w:numId w:val="4"/>
      </w:numPr>
      <w:jc w:val="left"/>
    </w:pPr>
  </w:style>
  <w:style w:type="paragraph" w:styleId="ListBullet2">
    <w:name w:val="List Bullet 2"/>
    <w:basedOn w:val="Normal"/>
    <w:qFormat/>
    <w:rsid w:val="00F57216"/>
    <w:pPr>
      <w:numPr>
        <w:ilvl w:val="1"/>
        <w:numId w:val="4"/>
      </w:numPr>
      <w:jc w:val="left"/>
    </w:pPr>
    <w:rPr>
      <w:lang w:eastAsia="ru-RU"/>
    </w:rPr>
  </w:style>
  <w:style w:type="paragraph" w:styleId="Title">
    <w:name w:val="Title"/>
    <w:basedOn w:val="Normal"/>
    <w:next w:val="BodyText"/>
    <w:semiHidden/>
    <w:unhideWhenUsed/>
    <w:qFormat/>
    <w:rsid w:val="001C64A7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Footer">
    <w:name w:val="footer"/>
    <w:unhideWhenUsed/>
    <w:rsid w:val="001C64A7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ListNumber">
    <w:name w:val="List Number"/>
    <w:basedOn w:val="Normal"/>
    <w:rsid w:val="004C311F"/>
    <w:pPr>
      <w:numPr>
        <w:numId w:val="5"/>
      </w:numPr>
      <w:tabs>
        <w:tab w:val="clear" w:pos="357"/>
        <w:tab w:val="num" w:pos="360"/>
      </w:tabs>
      <w:ind w:left="227" w:hanging="227"/>
      <w:jc w:val="left"/>
    </w:pPr>
    <w:rPr>
      <w:lang w:eastAsia="ru-RU"/>
    </w:rPr>
  </w:style>
  <w:style w:type="numbering" w:customStyle="1" w:styleId="a0">
    <w:name w:val="Многоуровневый список"/>
    <w:basedOn w:val="NoList"/>
    <w:uiPriority w:val="99"/>
    <w:rsid w:val="00BE1ADD"/>
    <w:pPr>
      <w:numPr>
        <w:numId w:val="6"/>
      </w:numPr>
    </w:pPr>
  </w:style>
  <w:style w:type="numbering" w:customStyle="1" w:styleId="a1">
    <w:name w:val="Многоуровневый стиль"/>
    <w:basedOn w:val="NoList"/>
    <w:rsid w:val="00BE1ADD"/>
    <w:pPr>
      <w:numPr>
        <w:numId w:val="7"/>
      </w:numPr>
    </w:pPr>
  </w:style>
  <w:style w:type="paragraph" w:styleId="TOC1">
    <w:name w:val="toc 1"/>
    <w:next w:val="Normal"/>
    <w:semiHidden/>
    <w:unhideWhenUsed/>
    <w:rsid w:val="001C64A7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TOC2">
    <w:name w:val="toc 2"/>
    <w:next w:val="Normal"/>
    <w:semiHidden/>
    <w:unhideWhenUsed/>
    <w:rsid w:val="001C64A7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TOC3">
    <w:name w:val="toc 3"/>
    <w:basedOn w:val="TOC2"/>
    <w:next w:val="Normal"/>
    <w:semiHidden/>
    <w:unhideWhenUsed/>
    <w:rsid w:val="001C64A7"/>
    <w:pPr>
      <w:ind w:left="403"/>
    </w:pPr>
  </w:style>
  <w:style w:type="table" w:styleId="TableGrid">
    <w:name w:val="Table Grid"/>
    <w:basedOn w:val="TableNormal"/>
    <w:rsid w:val="001C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unhideWhenUsed/>
    <w:rsid w:val="001C64A7"/>
    <w:rPr>
      <w:rFonts w:ascii="Tahoma" w:hAnsi="Tahoma" w:cs="Tahoma"/>
      <w:sz w:val="16"/>
      <w:szCs w:val="16"/>
    </w:rPr>
  </w:style>
  <w:style w:type="paragraph" w:styleId="MacroText">
    <w:name w:val="macro"/>
    <w:semiHidden/>
    <w:unhideWhenUsed/>
    <w:rsid w:val="001C6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Quote">
    <w:name w:val="Quote"/>
    <w:basedOn w:val="BodyText"/>
    <w:semiHidden/>
    <w:unhideWhenUsed/>
    <w:qFormat/>
    <w:rsid w:val="001C64A7"/>
    <w:pPr>
      <w:spacing w:line="340" w:lineRule="atLeast"/>
    </w:pPr>
    <w:rPr>
      <w:sz w:val="28"/>
    </w:rPr>
  </w:style>
  <w:style w:type="character" w:styleId="EndnoteReference">
    <w:name w:val="endnote reference"/>
    <w:semiHidden/>
    <w:unhideWhenUsed/>
    <w:rsid w:val="001C64A7"/>
    <w:rPr>
      <w:vertAlign w:val="superscript"/>
    </w:rPr>
  </w:style>
  <w:style w:type="character" w:styleId="CommentReference">
    <w:name w:val="annotation reference"/>
    <w:semiHidden/>
    <w:unhideWhenUsed/>
    <w:rsid w:val="001C64A7"/>
    <w:rPr>
      <w:sz w:val="16"/>
      <w:szCs w:val="16"/>
    </w:rPr>
  </w:style>
  <w:style w:type="character" w:styleId="FootnoteReference">
    <w:name w:val="footnote reference"/>
    <w:semiHidden/>
    <w:unhideWhenUsed/>
    <w:rsid w:val="001C64A7"/>
    <w:rPr>
      <w:vertAlign w:val="superscript"/>
    </w:rPr>
  </w:style>
  <w:style w:type="paragraph" w:styleId="Caption">
    <w:name w:val="caption"/>
    <w:basedOn w:val="Normal"/>
    <w:next w:val="Normal"/>
    <w:semiHidden/>
    <w:unhideWhenUsed/>
    <w:qFormat/>
    <w:rsid w:val="001C64A7"/>
    <w:rPr>
      <w:b/>
      <w:bCs/>
      <w:sz w:val="20"/>
    </w:rPr>
  </w:style>
  <w:style w:type="paragraph" w:styleId="TOC4">
    <w:name w:val="toc 4"/>
    <w:basedOn w:val="Normal"/>
    <w:next w:val="Normal"/>
    <w:autoRedefine/>
    <w:semiHidden/>
    <w:unhideWhenUsed/>
    <w:rsid w:val="001C64A7"/>
    <w:pPr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C64A7"/>
    <w:pPr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C64A7"/>
    <w:pPr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C64A7"/>
    <w:pPr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C64A7"/>
    <w:pPr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C64A7"/>
    <w:pPr>
      <w:ind w:left="1760"/>
    </w:pPr>
  </w:style>
  <w:style w:type="paragraph" w:styleId="TableofFigures">
    <w:name w:val="table of figures"/>
    <w:basedOn w:val="Normal"/>
    <w:next w:val="Normal"/>
    <w:semiHidden/>
    <w:unhideWhenUsed/>
    <w:rsid w:val="001C64A7"/>
  </w:style>
  <w:style w:type="paragraph" w:styleId="DocumentMap">
    <w:name w:val="Document Map"/>
    <w:basedOn w:val="Normal"/>
    <w:semiHidden/>
    <w:unhideWhenUsed/>
    <w:rsid w:val="001C64A7"/>
    <w:pPr>
      <w:shd w:val="clear" w:color="auto" w:fill="000080"/>
    </w:pPr>
    <w:rPr>
      <w:rFonts w:ascii="Tahoma" w:hAnsi="Tahoma" w:cs="Tahoma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C64A7"/>
    <w:pPr>
      <w:ind w:left="220" w:hanging="220"/>
    </w:pPr>
  </w:style>
  <w:style w:type="paragraph" w:styleId="EndnoteText">
    <w:name w:val="endnote text"/>
    <w:basedOn w:val="Normal"/>
    <w:semiHidden/>
    <w:unhideWhenUsed/>
    <w:rsid w:val="001C64A7"/>
    <w:rPr>
      <w:sz w:val="20"/>
    </w:rPr>
  </w:style>
  <w:style w:type="paragraph" w:styleId="CommentText">
    <w:name w:val="annotation text"/>
    <w:basedOn w:val="Normal"/>
    <w:semiHidden/>
    <w:unhideWhenUsed/>
    <w:rsid w:val="001C64A7"/>
    <w:rPr>
      <w:sz w:val="20"/>
    </w:rPr>
  </w:style>
  <w:style w:type="paragraph" w:styleId="FootnoteText">
    <w:name w:val="footnote text"/>
    <w:basedOn w:val="Normal"/>
    <w:semiHidden/>
    <w:unhideWhenUsed/>
    <w:rsid w:val="001C64A7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1C64A7"/>
    <w:rPr>
      <w:b/>
      <w:bCs/>
    </w:rPr>
  </w:style>
  <w:style w:type="paragraph" w:styleId="Index1">
    <w:name w:val="index 1"/>
    <w:basedOn w:val="Normal"/>
    <w:next w:val="Normal"/>
    <w:autoRedefine/>
    <w:semiHidden/>
    <w:unhideWhenUsed/>
    <w:rsid w:val="001C64A7"/>
    <w:pPr>
      <w:ind w:left="220" w:hanging="220"/>
    </w:pPr>
  </w:style>
  <w:style w:type="paragraph" w:styleId="IndexHeading">
    <w:name w:val="index heading"/>
    <w:basedOn w:val="Normal"/>
    <w:next w:val="Index1"/>
    <w:semiHidden/>
    <w:unhideWhenUsed/>
    <w:rsid w:val="001C64A7"/>
    <w:rPr>
      <w:rFonts w:ascii="Arial" w:hAnsi="Arial"/>
      <w:b/>
      <w:bCs/>
    </w:rPr>
  </w:style>
  <w:style w:type="paragraph" w:styleId="Index2">
    <w:name w:val="index 2"/>
    <w:basedOn w:val="Normal"/>
    <w:next w:val="Normal"/>
    <w:autoRedefine/>
    <w:semiHidden/>
    <w:unhideWhenUsed/>
    <w:rsid w:val="001C64A7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C64A7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C64A7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C64A7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C64A7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C64A7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C64A7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C64A7"/>
    <w:pPr>
      <w:ind w:left="1980" w:hanging="220"/>
    </w:pPr>
  </w:style>
  <w:style w:type="character" w:styleId="PageNumber">
    <w:name w:val="page number"/>
    <w:basedOn w:val="DefaultParagraphFont"/>
    <w:semiHidden/>
    <w:unhideWhenUsed/>
    <w:rsid w:val="00F0513C"/>
  </w:style>
  <w:style w:type="paragraph" w:customStyle="1" w:styleId="a5">
    <w:name w:val="Исходящие"/>
    <w:next w:val="Normal"/>
    <w:qFormat/>
    <w:rsid w:val="00A90767"/>
    <w:pPr>
      <w:spacing w:after="100" w:line="260" w:lineRule="atLeast"/>
      <w:ind w:right="3515"/>
      <w:jc w:val="both"/>
    </w:pPr>
    <w:rPr>
      <w:rFonts w:ascii="Garamond" w:hAnsi="Garamond" w:cs="Arial"/>
      <w:sz w:val="24"/>
      <w:lang w:eastAsia="en-US"/>
    </w:rPr>
  </w:style>
  <w:style w:type="character" w:customStyle="1" w:styleId="BodyTextChar">
    <w:name w:val="Body Text Char"/>
    <w:link w:val="BodyText"/>
    <w:semiHidden/>
    <w:rsid w:val="00693A5D"/>
    <w:rPr>
      <w:rFonts w:ascii="Garamond" w:hAnsi="Garamond" w:cs="Arial"/>
      <w:sz w:val="24"/>
      <w:lang w:val="en-GB" w:eastAsia="en-US"/>
    </w:rPr>
  </w:style>
  <w:style w:type="character" w:customStyle="1" w:styleId="ListBulletChar">
    <w:name w:val="List Bullet Char"/>
    <w:link w:val="ListBullet"/>
    <w:rsid w:val="00F57216"/>
    <w:rPr>
      <w:rFonts w:ascii="Garamond" w:hAnsi="Garamond" w:cs="Arial"/>
      <w:sz w:val="24"/>
      <w:lang w:val="en-GB" w:eastAsia="en-US"/>
    </w:rPr>
  </w:style>
  <w:style w:type="paragraph" w:customStyle="1" w:styleId="a6">
    <w:name w:val="Реквизит адресата"/>
    <w:basedOn w:val="Normal"/>
    <w:semiHidden/>
    <w:unhideWhenUsed/>
    <w:rsid w:val="00A90767"/>
    <w:pPr>
      <w:spacing w:line="220" w:lineRule="exact"/>
      <w:jc w:val="right"/>
    </w:pPr>
  </w:style>
  <w:style w:type="paragraph" w:styleId="Signature">
    <w:name w:val="Signature"/>
    <w:basedOn w:val="Normal"/>
    <w:rsid w:val="009935AE"/>
    <w:pPr>
      <w:spacing w:after="400"/>
      <w:jc w:val="left"/>
    </w:pPr>
  </w:style>
  <w:style w:type="paragraph" w:customStyle="1" w:styleId="a7">
    <w:name w:val="Кому"/>
    <w:basedOn w:val="Normal"/>
    <w:unhideWhenUsed/>
    <w:qFormat/>
    <w:rsid w:val="00773701"/>
    <w:pPr>
      <w:jc w:val="right"/>
    </w:pPr>
  </w:style>
  <w:style w:type="character" w:customStyle="1" w:styleId="HeaderChar">
    <w:name w:val="Header Char"/>
    <w:basedOn w:val="DefaultParagraphFont"/>
    <w:link w:val="Header"/>
    <w:rsid w:val="009977F6"/>
    <w:rPr>
      <w:rFonts w:ascii="Arial" w:hAnsi="Arial" w:cs="Arial"/>
      <w:b/>
      <w:color w:val="747678"/>
      <w:sz w:val="16"/>
      <w:lang w:val="en-GB" w:eastAsia="en-US"/>
    </w:rPr>
  </w:style>
  <w:style w:type="paragraph" w:customStyle="1" w:styleId="a8">
    <w:name w:val="Таблица_лев"/>
    <w:basedOn w:val="Normal"/>
    <w:qFormat/>
    <w:rsid w:val="00293BFA"/>
    <w:pPr>
      <w:spacing w:before="60" w:after="60" w:line="200" w:lineRule="atLeast"/>
      <w:jc w:val="left"/>
    </w:pPr>
    <w:rPr>
      <w:rFonts w:ascii="Arial" w:hAnsi="Arial"/>
      <w:sz w:val="20"/>
    </w:rPr>
  </w:style>
  <w:style w:type="paragraph" w:customStyle="1" w:styleId="a9">
    <w:name w:val="Таблица_заголовок"/>
    <w:basedOn w:val="Normal"/>
    <w:qFormat/>
    <w:rsid w:val="00293BFA"/>
    <w:pPr>
      <w:spacing w:before="60" w:after="60" w:line="200" w:lineRule="atLeast"/>
      <w:jc w:val="center"/>
    </w:pPr>
    <w:rPr>
      <w:rFonts w:ascii="Arial" w:hAnsi="Arial"/>
      <w:sz w:val="18"/>
    </w:rPr>
  </w:style>
  <w:style w:type="paragraph" w:customStyle="1" w:styleId="a2">
    <w:name w:val="Маркированный список_таблица"/>
    <w:basedOn w:val="a8"/>
    <w:qFormat/>
    <w:rsid w:val="000C0F54"/>
    <w:pPr>
      <w:numPr>
        <w:numId w:val="15"/>
      </w:numPr>
    </w:pPr>
    <w:rPr>
      <w:lang w:val="en-US" w:eastAsia="ru-RU"/>
    </w:rPr>
  </w:style>
  <w:style w:type="paragraph" w:customStyle="1" w:styleId="a">
    <w:name w:val="Нумерованный список_таблица"/>
    <w:basedOn w:val="a8"/>
    <w:qFormat/>
    <w:rsid w:val="002C46D9"/>
    <w:pPr>
      <w:numPr>
        <w:numId w:val="19"/>
      </w:numPr>
      <w:ind w:left="227" w:hanging="227"/>
    </w:pPr>
  </w:style>
  <w:style w:type="paragraph" w:styleId="ListParagraph">
    <w:name w:val="List Paragraph"/>
    <w:basedOn w:val="Normal"/>
    <w:uiPriority w:val="34"/>
    <w:unhideWhenUsed/>
    <w:rsid w:val="004C311F"/>
    <w:pPr>
      <w:ind w:left="720"/>
      <w:contextualSpacing/>
    </w:pPr>
  </w:style>
  <w:style w:type="table" w:customStyle="1" w:styleId="aa">
    <w:name w:val="Таблица_запрос"/>
    <w:basedOn w:val="TableNormal"/>
    <w:rsid w:val="0030369D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  <w:insideH w:val="single" w:sz="4" w:space="0" w:color="C0C0C0"/>
        <w:insideV w:val="single" w:sz="4" w:space="0" w:color="C0C0C0"/>
      </w:tblBorders>
    </w:tblPr>
    <w:trPr>
      <w:hidden/>
    </w:trPr>
    <w:tcPr>
      <w:vAlign w:val="center"/>
    </w:tcPr>
    <w:tblStylePr w:type="firstRow">
      <w:pPr>
        <w:keepLines w:val="0"/>
        <w:widowControl/>
        <w:suppressLineNumbers w:val="0"/>
        <w:wordWrap/>
        <w:spacing w:beforeLines="0" w:beforeAutospacing="1" w:afterLines="0" w:afterAutospacing="1"/>
        <w:ind w:leftChars="0" w:left="0" w:rightChars="0" w:right="0"/>
        <w:jc w:val="center"/>
      </w:pPr>
      <w:rPr>
        <w:rFonts w:ascii="Arial" w:hAnsi="Arial" w:cs="Arial" w:hint="default"/>
        <w:b/>
        <w:sz w:val="18"/>
        <w:szCs w:val="18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lastRow">
      <w:pPr>
        <w:keepLines w:val="0"/>
        <w:widowControl/>
        <w:suppressLineNumbers w:val="0"/>
        <w:wordWrap/>
        <w:jc w:val="left"/>
      </w:pPr>
      <w:rPr>
        <w:rFonts w:ascii="Arial" w:hAnsi="Arial" w:cs="Arial" w:hint="default"/>
        <w:b/>
        <w:sz w:val="20"/>
        <w:szCs w:val="20"/>
      </w:rPr>
      <w:tblPr/>
      <w:trPr>
        <w:hidden/>
      </w:trPr>
      <w:tcPr>
        <w:tcBorders>
          <w:top w:val="single" w:sz="4" w:space="0" w:color="auto"/>
          <w:left w:val="single" w:sz="4" w:space="0" w:color="C0C0C0"/>
          <w:bottom w:val="single" w:sz="4" w:space="0" w:color="auto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</w:style>
  <w:style w:type="character" w:customStyle="1" w:styleId="a4">
    <w:name w:val="Дисклеймер Знак"/>
    <w:basedOn w:val="DefaultParagraphFont"/>
    <w:link w:val="a3"/>
    <w:locked/>
    <w:rsid w:val="00294337"/>
    <w:rPr>
      <w:rFonts w:ascii="Arial" w:hAnsi="Arial" w:cs="Arial"/>
      <w:sz w:val="10"/>
      <w:lang w:eastAsia="en-US"/>
    </w:rPr>
  </w:style>
  <w:style w:type="character" w:styleId="Hyperlink">
    <w:name w:val="Hyperlink"/>
    <w:basedOn w:val="DefaultParagraphFont"/>
    <w:unhideWhenUsed/>
    <w:rsid w:val="005D0D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IRS~1\AppData\Local\Temp\&#1047;&#1072;&#1087;&#1088;&#1086;&#1089;_&#1089;&#1074;&#1103;&#1079;&#1072;&#1085;&#1085;&#1099;&#1077;_&#1089;&#1090;&#1086;&#1088;&#1086;&#1085;&#1099;_&#1072;&#1091;&#1076;_&#1083;&#1080;&#1094;&#1091;_&#1043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2C54-AE49-4204-BE2C-9D2344EC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Запрос_связанные_стороны_ауд_лицу_ГТ.dotx</Template>
  <TotalTime>27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A Tumanova</dc:creator>
  <cp:lastModifiedBy>Yulia A Tumanova</cp:lastModifiedBy>
  <cp:revision>6</cp:revision>
  <cp:lastPrinted>2014-12-02T12:07:00Z</cp:lastPrinted>
  <dcterms:created xsi:type="dcterms:W3CDTF">2020-05-22T11:35:00Z</dcterms:created>
  <dcterms:modified xsi:type="dcterms:W3CDTF">2020-05-22T12:34:00Z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Str">
    <vt:lpwstr>19.05.2015</vt:lpwstr>
  </property>
</Properties>
</file>